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621"/>
        <w:tblW w:w="0" w:type="auto"/>
        <w:tblLook w:val="01E0" w:firstRow="1" w:lastRow="1" w:firstColumn="1" w:lastColumn="1" w:noHBand="0" w:noVBand="0"/>
      </w:tblPr>
      <w:tblGrid>
        <w:gridCol w:w="2268"/>
        <w:gridCol w:w="3780"/>
        <w:gridCol w:w="4140"/>
      </w:tblGrid>
      <w:tr w:rsidR="00D11A97" w:rsidRPr="00D11A97" w:rsidTr="00DC19C8">
        <w:tc>
          <w:tcPr>
            <w:tcW w:w="10188" w:type="dxa"/>
            <w:gridSpan w:val="3"/>
            <w:tcBorders>
              <w:top w:val="single" w:sz="24" w:space="0" w:color="999999"/>
            </w:tcBorders>
          </w:tcPr>
          <w:p w:rsidR="00DC19C8" w:rsidRPr="00D11A97" w:rsidRDefault="00D11A97" w:rsidP="006628C8">
            <w:pPr>
              <w:spacing w:before="120"/>
              <w:rPr>
                <w:rFonts w:ascii="Century Gothic" w:hAnsi="Century Gothic" w:cs="Arial"/>
                <w:color w:val="0071BC"/>
                <w:szCs w:val="20"/>
              </w:rPr>
            </w:pPr>
            <w:r w:rsidRPr="00D11A97">
              <w:rPr>
                <w:rFonts w:ascii="Century Gothic" w:hAnsi="Century Gothic" w:cs="Arial"/>
                <w:b/>
                <w:i/>
                <w:color w:val="0071BC"/>
                <w:szCs w:val="20"/>
              </w:rPr>
              <w:t>HCSRN</w:t>
            </w:r>
            <w:r w:rsidR="00DC19C8" w:rsidRPr="00D11A97">
              <w:rPr>
                <w:rFonts w:ascii="Century Gothic" w:hAnsi="Century Gothic" w:cs="Arial"/>
                <w:b/>
                <w:i/>
                <w:color w:val="0071BC"/>
                <w:szCs w:val="20"/>
              </w:rPr>
              <w:t xml:space="preserve"> Project Policy Best Practices:</w:t>
            </w:r>
            <w:r w:rsidR="00DC19C8" w:rsidRPr="00D11A97">
              <w:rPr>
                <w:rFonts w:ascii="Century Gothic" w:hAnsi="Century Gothic" w:cs="Arial"/>
                <w:b/>
                <w:color w:val="0071BC"/>
                <w:szCs w:val="20"/>
              </w:rPr>
              <w:t xml:space="preserve"> </w:t>
            </w:r>
            <w:r w:rsidR="00C247F4" w:rsidRPr="00D11A97">
              <w:rPr>
                <w:rFonts w:ascii="Century Gothic" w:hAnsi="Century Gothic" w:cs="Arial"/>
                <w:b/>
                <w:color w:val="0071BC"/>
                <w:szCs w:val="20"/>
              </w:rPr>
              <w:t>Data Sharing</w:t>
            </w:r>
            <w:r w:rsidR="003D673B" w:rsidRPr="00D11A97">
              <w:rPr>
                <w:rFonts w:ascii="Century Gothic" w:hAnsi="Century Gothic" w:cs="Arial"/>
                <w:b/>
                <w:color w:val="0071BC"/>
                <w:szCs w:val="20"/>
              </w:rPr>
              <w:t xml:space="preserve"> for Limited Data</w:t>
            </w:r>
            <w:r w:rsidR="00C36CFB" w:rsidRPr="00D11A97">
              <w:rPr>
                <w:rFonts w:ascii="Century Gothic" w:hAnsi="Century Gothic" w:cs="Arial"/>
                <w:b/>
                <w:color w:val="0071BC"/>
                <w:szCs w:val="20"/>
              </w:rPr>
              <w:t xml:space="preserve"> S</w:t>
            </w:r>
            <w:r w:rsidR="003D673B" w:rsidRPr="00D11A97">
              <w:rPr>
                <w:rFonts w:ascii="Century Gothic" w:hAnsi="Century Gothic" w:cs="Arial"/>
                <w:b/>
                <w:color w:val="0071BC"/>
                <w:szCs w:val="20"/>
              </w:rPr>
              <w:t xml:space="preserve">ets </w:t>
            </w:r>
          </w:p>
        </w:tc>
      </w:tr>
      <w:tr w:rsidR="00DC19C8" w:rsidRPr="00D11A97" w:rsidTr="00DC19C8">
        <w:tc>
          <w:tcPr>
            <w:tcW w:w="2268" w:type="dxa"/>
            <w:tcBorders>
              <w:bottom w:val="single" w:sz="12" w:space="0" w:color="999999"/>
            </w:tcBorders>
          </w:tcPr>
          <w:p w:rsidR="00DC19C8" w:rsidRPr="00D11A97" w:rsidRDefault="00DC19C8" w:rsidP="00DC19C8">
            <w:pPr>
              <w:pStyle w:val="PolicyText"/>
              <w:spacing w:before="120"/>
              <w:rPr>
                <w:rFonts w:ascii="Century Gothic" w:hAnsi="Century Gothic"/>
                <w:b/>
              </w:rPr>
            </w:pPr>
            <w:r w:rsidRPr="00D11A97">
              <w:rPr>
                <w:rFonts w:ascii="Century Gothic" w:hAnsi="Century Gothic"/>
                <w:b/>
              </w:rPr>
              <w:t>Approved by:</w:t>
            </w:r>
          </w:p>
        </w:tc>
        <w:tc>
          <w:tcPr>
            <w:tcW w:w="3780" w:type="dxa"/>
            <w:tcBorders>
              <w:bottom w:val="single" w:sz="12" w:space="0" w:color="999999"/>
            </w:tcBorders>
          </w:tcPr>
          <w:p w:rsidR="00DC19C8" w:rsidRPr="00D11A97" w:rsidRDefault="000B640C" w:rsidP="00DC19C8">
            <w:pPr>
              <w:pStyle w:val="PolicyText"/>
              <w:spacing w:before="120"/>
              <w:rPr>
                <w:rFonts w:ascii="Century Gothic" w:hAnsi="Century Gothic"/>
              </w:rPr>
            </w:pPr>
            <w:r w:rsidRPr="00D11A97">
              <w:rPr>
                <w:rFonts w:ascii="Century Gothic" w:hAnsi="Century Gothic"/>
              </w:rPr>
              <w:t>Asset Stewardship Committee</w:t>
            </w:r>
          </w:p>
        </w:tc>
        <w:tc>
          <w:tcPr>
            <w:tcW w:w="4140" w:type="dxa"/>
            <w:tcBorders>
              <w:bottom w:val="single" w:sz="12" w:space="0" w:color="999999"/>
            </w:tcBorders>
          </w:tcPr>
          <w:p w:rsidR="00DC19C8" w:rsidRPr="00D11A97" w:rsidRDefault="00DC19C8" w:rsidP="00990B5D">
            <w:pPr>
              <w:pStyle w:val="PolicyText"/>
              <w:spacing w:before="120"/>
              <w:rPr>
                <w:rFonts w:ascii="Century Gothic" w:hAnsi="Century Gothic"/>
                <w:b/>
              </w:rPr>
            </w:pPr>
            <w:r w:rsidRPr="00D11A97">
              <w:rPr>
                <w:rFonts w:ascii="Century Gothic" w:hAnsi="Century Gothic"/>
                <w:b/>
              </w:rPr>
              <w:t xml:space="preserve">Last Revision: </w:t>
            </w:r>
            <w:r w:rsidR="00A33291" w:rsidRPr="00D11A97">
              <w:rPr>
                <w:rFonts w:ascii="Century Gothic" w:hAnsi="Century Gothic"/>
              </w:rPr>
              <w:t>1</w:t>
            </w:r>
            <w:r w:rsidR="00BD4334" w:rsidRPr="00D11A97">
              <w:rPr>
                <w:rFonts w:ascii="Century Gothic" w:hAnsi="Century Gothic"/>
              </w:rPr>
              <w:t>2</w:t>
            </w:r>
            <w:r w:rsidRPr="00D11A97">
              <w:rPr>
                <w:rFonts w:ascii="Century Gothic" w:hAnsi="Century Gothic"/>
              </w:rPr>
              <w:t>-</w:t>
            </w:r>
            <w:r w:rsidR="008D5D63" w:rsidRPr="00D11A97">
              <w:rPr>
                <w:rFonts w:ascii="Century Gothic" w:hAnsi="Century Gothic"/>
              </w:rPr>
              <w:t>2</w:t>
            </w:r>
            <w:r w:rsidR="00990B5D" w:rsidRPr="00D11A97">
              <w:rPr>
                <w:rFonts w:ascii="Century Gothic" w:hAnsi="Century Gothic"/>
              </w:rPr>
              <w:t>6</w:t>
            </w:r>
            <w:r w:rsidRPr="00D11A97">
              <w:rPr>
                <w:rFonts w:ascii="Century Gothic" w:hAnsi="Century Gothic"/>
              </w:rPr>
              <w:t>-201</w:t>
            </w:r>
            <w:r w:rsidR="005B3540" w:rsidRPr="00D11A97">
              <w:rPr>
                <w:rFonts w:ascii="Century Gothic" w:hAnsi="Century Gothic"/>
              </w:rPr>
              <w:t>3</w:t>
            </w:r>
          </w:p>
        </w:tc>
      </w:tr>
      <w:tr w:rsidR="00DC19C8" w:rsidRPr="00D11A97" w:rsidTr="00DC19C8">
        <w:tc>
          <w:tcPr>
            <w:tcW w:w="10188" w:type="dxa"/>
            <w:gridSpan w:val="3"/>
            <w:tcBorders>
              <w:top w:val="single" w:sz="12" w:space="0" w:color="999999"/>
              <w:bottom w:val="single" w:sz="24" w:space="0" w:color="999999"/>
            </w:tcBorders>
          </w:tcPr>
          <w:p w:rsidR="00DC19C8" w:rsidRPr="00D11A97" w:rsidRDefault="00F65C93" w:rsidP="00A46AFC">
            <w:pPr>
              <w:pStyle w:val="NormalWeb"/>
              <w:numPr>
                <w:ilvl w:val="0"/>
                <w:numId w:val="20"/>
              </w:numPr>
              <w:spacing w:before="120" w:beforeAutospacing="0" w:after="120" w:afterAutospacing="0"/>
              <w:rPr>
                <w:rFonts w:ascii="Century Gothic" w:hAnsi="Century Gothic" w:cs="Arial"/>
                <w:sz w:val="20"/>
                <w:szCs w:val="20"/>
              </w:rPr>
            </w:pPr>
            <w:hyperlink w:anchor="Scope_Purpose" w:history="1">
              <w:r w:rsidR="00DC19C8" w:rsidRPr="00D11A97">
                <w:rPr>
                  <w:rStyle w:val="Hyperlink"/>
                  <w:rFonts w:ascii="Century Gothic" w:hAnsi="Century Gothic" w:cs="Arial"/>
                  <w:sz w:val="20"/>
                  <w:szCs w:val="20"/>
                </w:rPr>
                <w:t>Scope and Purpose</w:t>
              </w:r>
            </w:hyperlink>
          </w:p>
          <w:p w:rsidR="00146BB2" w:rsidRPr="00D11A97" w:rsidRDefault="00F65C93" w:rsidP="00A46AFC">
            <w:pPr>
              <w:pStyle w:val="NormalWeb"/>
              <w:numPr>
                <w:ilvl w:val="0"/>
                <w:numId w:val="20"/>
              </w:numPr>
              <w:spacing w:before="120" w:beforeAutospacing="0" w:after="120" w:afterAutospacing="0"/>
              <w:rPr>
                <w:rFonts w:ascii="Century Gothic" w:hAnsi="Century Gothic" w:cs="Arial"/>
                <w:sz w:val="20"/>
                <w:szCs w:val="20"/>
              </w:rPr>
            </w:pPr>
            <w:hyperlink w:anchor="Definitions" w:history="1">
              <w:r w:rsidR="00146BB2" w:rsidRPr="00D11A97">
                <w:rPr>
                  <w:rStyle w:val="Hyperlink"/>
                  <w:rFonts w:ascii="Century Gothic" w:hAnsi="Century Gothic" w:cs="Arial"/>
                  <w:sz w:val="20"/>
                  <w:szCs w:val="20"/>
                </w:rPr>
                <w:t>Definitions</w:t>
              </w:r>
              <w:bookmarkStart w:id="0" w:name="Definitions"/>
              <w:bookmarkEnd w:id="0"/>
              <w:r w:rsidR="00146BB2" w:rsidRPr="00D11A97">
                <w:rPr>
                  <w:rStyle w:val="Hyperlink"/>
                  <w:rFonts w:ascii="Century Gothic" w:hAnsi="Century Gothic" w:cs="Arial"/>
                  <w:sz w:val="20"/>
                  <w:szCs w:val="20"/>
                </w:rPr>
                <w:t xml:space="preserve"> List</w:t>
              </w:r>
            </w:hyperlink>
          </w:p>
          <w:p w:rsidR="00DC19C8" w:rsidRPr="00D11A97" w:rsidRDefault="00F65C93" w:rsidP="00A46AFC">
            <w:pPr>
              <w:pStyle w:val="NormalWeb"/>
              <w:numPr>
                <w:ilvl w:val="0"/>
                <w:numId w:val="20"/>
              </w:numPr>
              <w:spacing w:before="120" w:beforeAutospacing="0" w:after="120" w:afterAutospacing="0"/>
              <w:rPr>
                <w:rFonts w:ascii="Century Gothic" w:hAnsi="Century Gothic" w:cs="Arial"/>
                <w:sz w:val="20"/>
                <w:szCs w:val="20"/>
              </w:rPr>
            </w:pPr>
            <w:hyperlink w:anchor="Topics_Sections" w:history="1">
              <w:r w:rsidR="00DC19C8" w:rsidRPr="00D11A97">
                <w:rPr>
                  <w:rStyle w:val="Hyperlink"/>
                  <w:rFonts w:ascii="Century Gothic" w:hAnsi="Century Gothic" w:cs="Arial"/>
                  <w:sz w:val="20"/>
                  <w:szCs w:val="20"/>
                </w:rPr>
                <w:t>Potential Policy Content Areas</w:t>
              </w:r>
            </w:hyperlink>
          </w:p>
          <w:p w:rsidR="00DC19C8" w:rsidRPr="00D11A97" w:rsidRDefault="00DC19C8" w:rsidP="00A46AFC">
            <w:pPr>
              <w:pStyle w:val="NormalWeb"/>
              <w:numPr>
                <w:ilvl w:val="0"/>
                <w:numId w:val="20"/>
              </w:numPr>
              <w:spacing w:before="120" w:beforeAutospacing="0" w:after="120" w:afterAutospacing="0"/>
              <w:rPr>
                <w:rStyle w:val="Hyperlink"/>
                <w:rFonts w:ascii="Century Gothic" w:hAnsi="Century Gothic" w:cs="Arial"/>
                <w:color w:val="auto"/>
                <w:sz w:val="20"/>
                <w:szCs w:val="20"/>
              </w:rPr>
            </w:pPr>
            <w:r w:rsidRPr="00D11A97">
              <w:rPr>
                <w:rFonts w:ascii="Century Gothic" w:hAnsi="Century Gothic" w:cs="Arial"/>
                <w:sz w:val="20"/>
                <w:szCs w:val="20"/>
              </w:rPr>
              <w:fldChar w:fldCharType="begin"/>
            </w:r>
            <w:r w:rsidRPr="00D11A97">
              <w:rPr>
                <w:rFonts w:ascii="Century Gothic" w:hAnsi="Century Gothic" w:cs="Arial"/>
                <w:sz w:val="20"/>
                <w:szCs w:val="20"/>
              </w:rPr>
              <w:instrText xml:space="preserve"> HYPERLINK  \l "Best_Practices" </w:instrText>
            </w:r>
            <w:r w:rsidRPr="00D11A97">
              <w:rPr>
                <w:rFonts w:ascii="Century Gothic" w:hAnsi="Century Gothic" w:cs="Arial"/>
                <w:sz w:val="20"/>
                <w:szCs w:val="20"/>
              </w:rPr>
              <w:fldChar w:fldCharType="separate"/>
            </w:r>
            <w:r w:rsidRPr="00D11A97">
              <w:rPr>
                <w:rStyle w:val="Hyperlink"/>
                <w:rFonts w:ascii="Century Gothic" w:hAnsi="Century Gothic" w:cs="Arial"/>
                <w:sz w:val="20"/>
                <w:szCs w:val="20"/>
              </w:rPr>
              <w:t>Identified Best Practices</w:t>
            </w:r>
            <w:r w:rsidR="00A46AFC" w:rsidRPr="00D11A97">
              <w:rPr>
                <w:rStyle w:val="Hyperlink"/>
                <w:rFonts w:ascii="Century Gothic" w:hAnsi="Century Gothic" w:cs="Arial"/>
                <w:sz w:val="20"/>
                <w:szCs w:val="20"/>
              </w:rPr>
              <w:t xml:space="preserve"> </w:t>
            </w:r>
          </w:p>
          <w:p w:rsidR="00DC19C8" w:rsidRPr="00D11A97" w:rsidRDefault="00DC19C8" w:rsidP="00A46AFC">
            <w:pPr>
              <w:pStyle w:val="NormalWeb"/>
              <w:numPr>
                <w:ilvl w:val="0"/>
                <w:numId w:val="20"/>
              </w:numPr>
              <w:spacing w:before="120" w:beforeAutospacing="0" w:after="120" w:afterAutospacing="0"/>
              <w:rPr>
                <w:rFonts w:ascii="Century Gothic" w:hAnsi="Century Gothic"/>
                <w:sz w:val="20"/>
                <w:szCs w:val="20"/>
              </w:rPr>
            </w:pPr>
            <w:r w:rsidRPr="00D11A97">
              <w:rPr>
                <w:rFonts w:ascii="Century Gothic" w:hAnsi="Century Gothic" w:cs="Arial"/>
                <w:sz w:val="20"/>
                <w:szCs w:val="20"/>
              </w:rPr>
              <w:fldChar w:fldCharType="end"/>
            </w:r>
            <w:hyperlink w:anchor="More_HMORNResources" w:history="1">
              <w:r w:rsidRPr="00D11A97">
                <w:rPr>
                  <w:rStyle w:val="Hyperlink"/>
                  <w:rFonts w:ascii="Century Gothic" w:hAnsi="Century Gothic" w:cs="Arial"/>
                  <w:sz w:val="20"/>
                  <w:szCs w:val="20"/>
                </w:rPr>
                <w:t xml:space="preserve">Other </w:t>
              </w:r>
              <w:r w:rsidR="00D30C3F" w:rsidRPr="00D11A97">
                <w:rPr>
                  <w:rStyle w:val="Hyperlink"/>
                  <w:rFonts w:ascii="Century Gothic" w:hAnsi="Century Gothic" w:cs="Arial"/>
                  <w:sz w:val="20"/>
                  <w:szCs w:val="20"/>
                </w:rPr>
                <w:t>Data Sharing</w:t>
              </w:r>
              <w:r w:rsidRPr="00D11A97">
                <w:rPr>
                  <w:rStyle w:val="Hyperlink"/>
                  <w:rFonts w:ascii="Century Gothic" w:hAnsi="Century Gothic" w:cs="Arial"/>
                  <w:sz w:val="20"/>
                  <w:szCs w:val="20"/>
                </w:rPr>
                <w:t xml:space="preserve"> Resources</w:t>
              </w:r>
            </w:hyperlink>
          </w:p>
          <w:p w:rsidR="00DC19C8" w:rsidRPr="00D11A97" w:rsidRDefault="00F65C93" w:rsidP="00A46AFC">
            <w:pPr>
              <w:numPr>
                <w:ilvl w:val="0"/>
                <w:numId w:val="20"/>
              </w:numPr>
              <w:spacing w:before="120" w:after="120"/>
              <w:rPr>
                <w:rFonts w:ascii="Century Gothic" w:hAnsi="Century Gothic" w:cs="Arial"/>
                <w:sz w:val="20"/>
                <w:szCs w:val="20"/>
              </w:rPr>
            </w:pPr>
            <w:hyperlink w:anchor="More_PolicyTopics" w:history="1">
              <w:r w:rsidR="00DC19C8" w:rsidRPr="00D11A97">
                <w:rPr>
                  <w:rStyle w:val="Hyperlink"/>
                  <w:rFonts w:ascii="Century Gothic" w:hAnsi="Century Gothic" w:cs="Arial"/>
                  <w:sz w:val="20"/>
                  <w:szCs w:val="20"/>
                </w:rPr>
                <w:t xml:space="preserve">Other </w:t>
              </w:r>
              <w:r w:rsidR="00D11A97" w:rsidRPr="00D11A97">
                <w:rPr>
                  <w:rStyle w:val="Hyperlink"/>
                  <w:rFonts w:ascii="Century Gothic" w:hAnsi="Century Gothic" w:cs="Arial"/>
                  <w:sz w:val="20"/>
                  <w:szCs w:val="20"/>
                </w:rPr>
                <w:t>HCSRN</w:t>
              </w:r>
              <w:r w:rsidR="00DC19C8" w:rsidRPr="00D11A97">
                <w:rPr>
                  <w:rStyle w:val="Hyperlink"/>
                  <w:rFonts w:ascii="Century Gothic" w:hAnsi="Century Gothic" w:cs="Arial"/>
                  <w:sz w:val="20"/>
                  <w:szCs w:val="20"/>
                </w:rPr>
                <w:t xml:space="preserve"> Project Policy Topics</w:t>
              </w:r>
            </w:hyperlink>
          </w:p>
          <w:p w:rsidR="00DC19C8" w:rsidRPr="00D11A97" w:rsidRDefault="00F65C93" w:rsidP="00A46AFC">
            <w:pPr>
              <w:pStyle w:val="NormalWeb"/>
              <w:numPr>
                <w:ilvl w:val="0"/>
                <w:numId w:val="20"/>
              </w:numPr>
              <w:spacing w:before="120" w:beforeAutospacing="0" w:after="120" w:afterAutospacing="0"/>
              <w:rPr>
                <w:rFonts w:ascii="Century Gothic" w:hAnsi="Century Gothic" w:cs="Arial"/>
                <w:sz w:val="20"/>
                <w:szCs w:val="20"/>
              </w:rPr>
            </w:pPr>
            <w:hyperlink w:anchor="Updates_Feedback" w:history="1">
              <w:r w:rsidR="00DC19C8" w:rsidRPr="00D11A97">
                <w:rPr>
                  <w:rStyle w:val="Hyperlink"/>
                  <w:rFonts w:ascii="Century Gothic" w:hAnsi="Century Gothic"/>
                  <w:sz w:val="20"/>
                  <w:szCs w:val="20"/>
                </w:rPr>
                <w:t>Submitting Updates and Feedback</w:t>
              </w:r>
            </w:hyperlink>
          </w:p>
        </w:tc>
      </w:tr>
    </w:tbl>
    <w:p w:rsidR="002D1719" w:rsidRPr="00D11A97" w:rsidRDefault="005A784D" w:rsidP="0029339F">
      <w:pPr>
        <w:pStyle w:val="Heading3"/>
        <w:rPr>
          <w:rFonts w:ascii="Century Gothic" w:hAnsi="Century Gothic"/>
          <w:b w:val="0"/>
          <w:sz w:val="20"/>
          <w:szCs w:val="20"/>
        </w:rPr>
      </w:pPr>
      <w:r w:rsidRPr="00D11A97">
        <w:rPr>
          <w:rFonts w:ascii="Century Gothic" w:hAnsi="Century Gothic"/>
          <w:sz w:val="20"/>
          <w:szCs w:val="20"/>
        </w:rPr>
        <w:t xml:space="preserve">Scope and </w:t>
      </w:r>
      <w:r w:rsidR="002D1719" w:rsidRPr="00D11A97">
        <w:rPr>
          <w:rFonts w:ascii="Century Gothic" w:hAnsi="Century Gothic"/>
          <w:sz w:val="20"/>
          <w:szCs w:val="20"/>
        </w:rPr>
        <w:t>Purpose</w:t>
      </w:r>
      <w:r w:rsidR="002D1719" w:rsidRPr="00D11A97">
        <w:rPr>
          <w:rFonts w:ascii="Century Gothic" w:hAnsi="Century Gothic"/>
          <w:b w:val="0"/>
          <w:sz w:val="20"/>
          <w:szCs w:val="20"/>
        </w:rPr>
        <w:t xml:space="preserve"> </w:t>
      </w:r>
    </w:p>
    <w:p w:rsidR="001828D8" w:rsidRPr="00D11A97" w:rsidRDefault="001212B8" w:rsidP="00DB759A">
      <w:pPr>
        <w:spacing w:before="240" w:after="120"/>
        <w:rPr>
          <w:rFonts w:ascii="Century Gothic" w:hAnsi="Century Gothic" w:cs="Arial"/>
          <w:sz w:val="20"/>
          <w:szCs w:val="20"/>
        </w:rPr>
      </w:pPr>
      <w:r w:rsidRPr="00D11A97">
        <w:rPr>
          <w:rFonts w:ascii="Century Gothic" w:hAnsi="Century Gothic" w:cs="Arial"/>
          <w:sz w:val="20"/>
          <w:szCs w:val="20"/>
        </w:rPr>
        <w:t xml:space="preserve">Large and </w:t>
      </w:r>
      <w:r w:rsidR="001828D8" w:rsidRPr="00D11A97">
        <w:rPr>
          <w:rFonts w:ascii="Century Gothic" w:hAnsi="Century Gothic" w:cs="Arial"/>
          <w:sz w:val="20"/>
          <w:szCs w:val="20"/>
        </w:rPr>
        <w:t xml:space="preserve">complex multicenter </w:t>
      </w:r>
      <w:r w:rsidR="00D11A97" w:rsidRPr="00D11A97">
        <w:rPr>
          <w:rFonts w:ascii="Century Gothic" w:hAnsi="Century Gothic" w:cs="Arial"/>
          <w:sz w:val="20"/>
          <w:szCs w:val="20"/>
        </w:rPr>
        <w:t>HCSRN</w:t>
      </w:r>
      <w:r w:rsidR="001828D8" w:rsidRPr="00D11A97">
        <w:rPr>
          <w:rFonts w:ascii="Century Gothic" w:hAnsi="Century Gothic" w:cs="Arial"/>
          <w:sz w:val="20"/>
          <w:szCs w:val="20"/>
        </w:rPr>
        <w:t xml:space="preserve"> </w:t>
      </w:r>
      <w:r w:rsidR="00DB759A" w:rsidRPr="00D11A97">
        <w:rPr>
          <w:rFonts w:ascii="Century Gothic" w:hAnsi="Century Gothic" w:cs="Arial"/>
          <w:sz w:val="20"/>
          <w:szCs w:val="20"/>
        </w:rPr>
        <w:t xml:space="preserve">consortium projects may </w:t>
      </w:r>
      <w:r w:rsidR="001828D8" w:rsidRPr="00D11A97">
        <w:rPr>
          <w:rFonts w:ascii="Century Gothic" w:hAnsi="Century Gothic" w:cs="Arial"/>
          <w:sz w:val="20"/>
          <w:szCs w:val="20"/>
        </w:rPr>
        <w:t xml:space="preserve">develop project specific policies as part of their infrastructure and governance. Such </w:t>
      </w:r>
      <w:r w:rsidR="00073610" w:rsidRPr="00D11A97">
        <w:rPr>
          <w:rFonts w:ascii="Century Gothic" w:hAnsi="Century Gothic" w:cs="Arial"/>
          <w:sz w:val="20"/>
          <w:szCs w:val="20"/>
        </w:rPr>
        <w:t xml:space="preserve">guidance documents provide structure, clarification of responsibilities, and pre-defined practices for </w:t>
      </w:r>
      <w:r w:rsidR="001828D8" w:rsidRPr="00D11A97">
        <w:rPr>
          <w:rFonts w:ascii="Century Gothic" w:hAnsi="Century Gothic" w:cs="Arial"/>
          <w:sz w:val="20"/>
          <w:szCs w:val="20"/>
        </w:rPr>
        <w:t xml:space="preserve">these </w:t>
      </w:r>
      <w:r w:rsidR="00073610" w:rsidRPr="00D11A97">
        <w:rPr>
          <w:rFonts w:ascii="Century Gothic" w:hAnsi="Century Gothic" w:cs="Arial"/>
          <w:sz w:val="20"/>
          <w:szCs w:val="20"/>
        </w:rPr>
        <w:t xml:space="preserve">projects. </w:t>
      </w:r>
    </w:p>
    <w:p w:rsidR="00C008D7" w:rsidRPr="00D11A97" w:rsidRDefault="00552978" w:rsidP="00DB759A">
      <w:pPr>
        <w:spacing w:before="240" w:after="120"/>
        <w:rPr>
          <w:rFonts w:ascii="Century Gothic" w:hAnsi="Century Gothic" w:cs="Arial"/>
          <w:sz w:val="20"/>
          <w:szCs w:val="20"/>
        </w:rPr>
      </w:pPr>
      <w:r w:rsidRPr="00D11A97">
        <w:rPr>
          <w:rFonts w:ascii="Century Gothic" w:hAnsi="Century Gothic" w:cs="Arial"/>
          <w:sz w:val="20"/>
          <w:szCs w:val="20"/>
        </w:rPr>
        <w:t xml:space="preserve">This document is </w:t>
      </w:r>
      <w:r w:rsidR="00073610" w:rsidRPr="00D11A97">
        <w:rPr>
          <w:rFonts w:ascii="Century Gothic" w:hAnsi="Century Gothic" w:cs="Arial"/>
          <w:sz w:val="20"/>
          <w:szCs w:val="20"/>
        </w:rPr>
        <w:t xml:space="preserve">meant </w:t>
      </w:r>
      <w:r w:rsidRPr="00D11A97">
        <w:rPr>
          <w:rFonts w:ascii="Century Gothic" w:hAnsi="Century Gothic" w:cs="Arial"/>
          <w:sz w:val="20"/>
          <w:szCs w:val="20"/>
        </w:rPr>
        <w:t xml:space="preserve">to provide general guidance </w:t>
      </w:r>
      <w:r w:rsidR="005F5CC1" w:rsidRPr="00D11A97">
        <w:rPr>
          <w:rFonts w:ascii="Century Gothic" w:hAnsi="Century Gothic" w:cs="Arial"/>
          <w:sz w:val="20"/>
          <w:szCs w:val="20"/>
        </w:rPr>
        <w:t xml:space="preserve">for </w:t>
      </w:r>
      <w:r w:rsidR="00D11A97" w:rsidRPr="00D11A97">
        <w:rPr>
          <w:rFonts w:ascii="Century Gothic" w:hAnsi="Century Gothic" w:cs="Arial"/>
          <w:sz w:val="20"/>
          <w:szCs w:val="20"/>
        </w:rPr>
        <w:t>HCSRN</w:t>
      </w:r>
      <w:r w:rsidR="00DB759A" w:rsidRPr="00D11A97">
        <w:rPr>
          <w:rFonts w:ascii="Century Gothic" w:hAnsi="Century Gothic" w:cs="Arial"/>
          <w:sz w:val="20"/>
          <w:szCs w:val="20"/>
        </w:rPr>
        <w:t xml:space="preserve"> consortium </w:t>
      </w:r>
      <w:r w:rsidR="00C008D7" w:rsidRPr="00D11A97">
        <w:rPr>
          <w:rFonts w:ascii="Century Gothic" w:hAnsi="Century Gothic" w:cs="Arial"/>
          <w:sz w:val="20"/>
          <w:szCs w:val="20"/>
        </w:rPr>
        <w:t>p</w:t>
      </w:r>
      <w:r w:rsidR="0093701D" w:rsidRPr="00D11A97">
        <w:rPr>
          <w:rFonts w:ascii="Century Gothic" w:hAnsi="Century Gothic" w:cs="Arial"/>
          <w:sz w:val="20"/>
          <w:szCs w:val="20"/>
        </w:rPr>
        <w:t>roject</w:t>
      </w:r>
      <w:r w:rsidR="00C008D7" w:rsidRPr="00D11A97">
        <w:rPr>
          <w:rFonts w:ascii="Century Gothic" w:hAnsi="Century Gothic" w:cs="Arial"/>
          <w:sz w:val="20"/>
          <w:szCs w:val="20"/>
        </w:rPr>
        <w:t>s</w:t>
      </w:r>
      <w:r w:rsidR="001212B8" w:rsidRPr="00D11A97">
        <w:rPr>
          <w:rFonts w:ascii="Century Gothic" w:hAnsi="Century Gothic" w:cs="Arial"/>
          <w:sz w:val="20"/>
          <w:szCs w:val="20"/>
        </w:rPr>
        <w:t xml:space="preserve"> </w:t>
      </w:r>
      <w:r w:rsidR="00C74774" w:rsidRPr="00D11A97">
        <w:rPr>
          <w:rFonts w:ascii="Century Gothic" w:hAnsi="Century Gothic" w:cs="Arial"/>
          <w:sz w:val="20"/>
          <w:szCs w:val="20"/>
        </w:rPr>
        <w:t xml:space="preserve">that are </w:t>
      </w:r>
      <w:r w:rsidR="00DB759A" w:rsidRPr="00D11A97">
        <w:rPr>
          <w:rFonts w:ascii="Century Gothic" w:hAnsi="Century Gothic" w:cs="Arial"/>
          <w:sz w:val="20"/>
          <w:szCs w:val="20"/>
        </w:rPr>
        <w:t xml:space="preserve">developing or updating such policies. </w:t>
      </w:r>
      <w:r w:rsidR="00DB759A" w:rsidRPr="00D11A97">
        <w:rPr>
          <w:rFonts w:ascii="Century Gothic" w:hAnsi="Century Gothic" w:cs="Arial"/>
          <w:sz w:val="20"/>
          <w:szCs w:val="20"/>
          <w:u w:val="single"/>
        </w:rPr>
        <w:t>B</w:t>
      </w:r>
      <w:r w:rsidR="001212B8" w:rsidRPr="00D11A97">
        <w:rPr>
          <w:rFonts w:ascii="Century Gothic" w:hAnsi="Century Gothic" w:cs="Arial"/>
          <w:sz w:val="20"/>
          <w:szCs w:val="20"/>
          <w:u w:val="single"/>
        </w:rPr>
        <w:t xml:space="preserve">est practices from existing </w:t>
      </w:r>
      <w:r w:rsidR="00D11A97" w:rsidRPr="00D11A97">
        <w:rPr>
          <w:rFonts w:ascii="Century Gothic" w:hAnsi="Century Gothic" w:cs="Arial"/>
          <w:sz w:val="20"/>
          <w:szCs w:val="20"/>
          <w:u w:val="single"/>
        </w:rPr>
        <w:t>HCSRN</w:t>
      </w:r>
      <w:r w:rsidR="00DB759A" w:rsidRPr="00D11A97">
        <w:rPr>
          <w:rFonts w:ascii="Century Gothic" w:hAnsi="Century Gothic" w:cs="Arial"/>
          <w:sz w:val="20"/>
          <w:szCs w:val="20"/>
          <w:u w:val="single"/>
        </w:rPr>
        <w:t xml:space="preserve"> </w:t>
      </w:r>
      <w:r w:rsidR="001212B8" w:rsidRPr="00D11A97">
        <w:rPr>
          <w:rFonts w:ascii="Century Gothic" w:hAnsi="Century Gothic" w:cs="Arial"/>
          <w:sz w:val="20"/>
          <w:szCs w:val="20"/>
          <w:u w:val="single"/>
        </w:rPr>
        <w:t xml:space="preserve">project </w:t>
      </w:r>
      <w:r w:rsidR="00DB759A" w:rsidRPr="00D11A97">
        <w:rPr>
          <w:rFonts w:ascii="Century Gothic" w:hAnsi="Century Gothic" w:cs="Arial"/>
          <w:sz w:val="20"/>
          <w:szCs w:val="20"/>
          <w:u w:val="single"/>
        </w:rPr>
        <w:t>policies</w:t>
      </w:r>
      <w:r w:rsidR="00DB759A" w:rsidRPr="00D11A97">
        <w:rPr>
          <w:rFonts w:ascii="Century Gothic" w:hAnsi="Century Gothic" w:cs="Arial"/>
          <w:sz w:val="20"/>
          <w:szCs w:val="20"/>
        </w:rPr>
        <w:t xml:space="preserve"> are synthesized and presented herein.</w:t>
      </w:r>
      <w:r w:rsidR="001212B8" w:rsidRPr="00D11A97">
        <w:rPr>
          <w:rFonts w:ascii="Century Gothic" w:hAnsi="Century Gothic" w:cs="Arial"/>
          <w:sz w:val="20"/>
          <w:szCs w:val="20"/>
        </w:rPr>
        <w:t xml:space="preserve"> This document and its companion resources are intended to increase efficiency, avoid duplication of effort, encourage consistency and facilitate transparency while ensuring that projects</w:t>
      </w:r>
      <w:r w:rsidR="00A33291" w:rsidRPr="00D11A97">
        <w:rPr>
          <w:rFonts w:ascii="Century Gothic" w:hAnsi="Century Gothic" w:cs="Arial"/>
          <w:sz w:val="20"/>
          <w:szCs w:val="20"/>
        </w:rPr>
        <w:t xml:space="preserve"> in the </w:t>
      </w:r>
      <w:r w:rsidR="00D11A97" w:rsidRPr="00D11A97">
        <w:rPr>
          <w:rFonts w:ascii="Century Gothic" w:hAnsi="Century Gothic" w:cs="Arial"/>
          <w:sz w:val="20"/>
          <w:szCs w:val="20"/>
        </w:rPr>
        <w:t>HCSRN</w:t>
      </w:r>
      <w:r w:rsidR="001212B8" w:rsidRPr="00D11A97">
        <w:rPr>
          <w:rFonts w:ascii="Century Gothic" w:hAnsi="Century Gothic" w:cs="Arial"/>
          <w:sz w:val="20"/>
          <w:szCs w:val="20"/>
        </w:rPr>
        <w:t xml:space="preserve"> </w:t>
      </w:r>
      <w:r w:rsidR="00C008D7" w:rsidRPr="00D11A97">
        <w:rPr>
          <w:rFonts w:ascii="Century Gothic" w:hAnsi="Century Gothic" w:cs="Arial"/>
          <w:sz w:val="20"/>
          <w:szCs w:val="20"/>
        </w:rPr>
        <w:t>maintain control over their own policies.</w:t>
      </w:r>
    </w:p>
    <w:p w:rsidR="00C74774" w:rsidRPr="00D11A97" w:rsidRDefault="00C74774" w:rsidP="00DB759A">
      <w:pPr>
        <w:spacing w:before="240" w:after="120"/>
        <w:rPr>
          <w:rFonts w:ascii="Century Gothic" w:hAnsi="Century Gothic" w:cs="Arial"/>
          <w:sz w:val="20"/>
          <w:szCs w:val="20"/>
        </w:rPr>
      </w:pPr>
      <w:r w:rsidRPr="00D11A97">
        <w:rPr>
          <w:rFonts w:ascii="Century Gothic" w:hAnsi="Century Gothic" w:cs="Arial"/>
          <w:sz w:val="20"/>
          <w:szCs w:val="20"/>
        </w:rPr>
        <w:t xml:space="preserve">This policy covers the sharing of both general and restricted limited research data sets for either primary or secondary analyses, with organizations both inside and outside the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Such </w:t>
      </w:r>
      <w:r w:rsidR="00C400D4" w:rsidRPr="00D11A97">
        <w:rPr>
          <w:rFonts w:ascii="Century Gothic" w:hAnsi="Century Gothic" w:cs="Arial"/>
          <w:sz w:val="20"/>
          <w:szCs w:val="20"/>
        </w:rPr>
        <w:t xml:space="preserve">physically transferred </w:t>
      </w:r>
      <w:r w:rsidRPr="00D11A97">
        <w:rPr>
          <w:rFonts w:ascii="Century Gothic" w:hAnsi="Century Gothic" w:cs="Arial"/>
          <w:sz w:val="20"/>
          <w:szCs w:val="20"/>
        </w:rPr>
        <w:t>data sets may also include information about the originating health plan(s) (e.g., disease and diagnosis rates, diagnostic counts), as long as the explicit identity of the health plan has been removed.</w:t>
      </w:r>
    </w:p>
    <w:p w:rsidR="00C41BD4" w:rsidRPr="00D11A97" w:rsidRDefault="00C41BD4" w:rsidP="00DB759A">
      <w:pPr>
        <w:spacing w:before="240" w:after="120"/>
        <w:rPr>
          <w:rFonts w:ascii="Century Gothic" w:hAnsi="Century Gothic" w:cs="Arial"/>
          <w:sz w:val="20"/>
          <w:szCs w:val="20"/>
        </w:rPr>
      </w:pPr>
      <w:r w:rsidRPr="00D11A97">
        <w:rPr>
          <w:rFonts w:ascii="Century Gothic" w:hAnsi="Century Gothic" w:cs="Arial"/>
          <w:sz w:val="20"/>
          <w:szCs w:val="20"/>
        </w:rPr>
        <w:t>A goal of many of these multi-site projects is to maximize the sustained value of these datasets by addressing additional important research questions beyond the original project’s specific aims.</w:t>
      </w:r>
    </w:p>
    <w:p w:rsidR="00C74774" w:rsidRPr="00D11A97" w:rsidRDefault="00C74774" w:rsidP="00DB759A">
      <w:pPr>
        <w:spacing w:before="240" w:after="120"/>
        <w:rPr>
          <w:rFonts w:ascii="Century Gothic" w:hAnsi="Century Gothic" w:cs="Arial"/>
          <w:sz w:val="20"/>
          <w:szCs w:val="20"/>
        </w:rPr>
      </w:pPr>
      <w:r w:rsidRPr="00D11A97">
        <w:rPr>
          <w:rFonts w:ascii="Century Gothic" w:hAnsi="Century Gothic" w:cs="Arial"/>
          <w:sz w:val="20"/>
          <w:szCs w:val="20"/>
        </w:rPr>
        <w:t>It is extremely important to protect privacy, confidentiality, and often anonymity of patients, members, research subjects, clinics, and health systems.  Prior to data transfer</w:t>
      </w:r>
      <w:r w:rsidR="00C400D4" w:rsidRPr="00D11A97">
        <w:rPr>
          <w:rFonts w:ascii="Century Gothic" w:hAnsi="Century Gothic" w:cs="Arial"/>
          <w:sz w:val="20"/>
          <w:szCs w:val="20"/>
        </w:rPr>
        <w:t xml:space="preserve"> (physical or electronic)</w:t>
      </w:r>
      <w:r w:rsidRPr="00D11A97">
        <w:rPr>
          <w:rFonts w:ascii="Century Gothic" w:hAnsi="Century Gothic" w:cs="Arial"/>
          <w:sz w:val="20"/>
          <w:szCs w:val="20"/>
        </w:rPr>
        <w:t xml:space="preserve">, protocols at the data sharing site must be followed to certify the research data set meets the standards for limited data sets, and the risk of re-identification is minimal.  The specifics of these protocols are determined by each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member organization, in the light of applicable federal and state laws.</w:t>
      </w:r>
    </w:p>
    <w:p w:rsidR="00D11A97" w:rsidRDefault="00660D20" w:rsidP="00DB759A">
      <w:pPr>
        <w:spacing w:before="240" w:after="120"/>
        <w:rPr>
          <w:rFonts w:ascii="Century Gothic" w:hAnsi="Century Gothic" w:cs="Arial"/>
          <w:color w:val="000000"/>
          <w:sz w:val="20"/>
          <w:szCs w:val="20"/>
          <w:lang w:val="ar-SA"/>
        </w:rPr>
      </w:pPr>
      <w:r w:rsidRPr="00D11A97">
        <w:rPr>
          <w:rFonts w:ascii="Century Gothic" w:hAnsi="Century Gothic" w:cs="Arial"/>
          <w:sz w:val="20"/>
          <w:szCs w:val="20"/>
        </w:rPr>
        <w:t>The practices</w:t>
      </w:r>
      <w:r w:rsidR="00C41BD4" w:rsidRPr="00D11A97">
        <w:rPr>
          <w:rFonts w:ascii="Century Gothic" w:hAnsi="Century Gothic" w:cs="Arial"/>
          <w:sz w:val="20"/>
          <w:szCs w:val="20"/>
        </w:rPr>
        <w:t xml:space="preserve"> </w:t>
      </w:r>
      <w:r w:rsidR="00C74774" w:rsidRPr="00D11A97">
        <w:rPr>
          <w:rFonts w:ascii="Century Gothic" w:hAnsi="Century Gothic" w:cs="Arial"/>
          <w:sz w:val="20"/>
          <w:szCs w:val="20"/>
        </w:rPr>
        <w:t xml:space="preserve">and definitions </w:t>
      </w:r>
      <w:r w:rsidR="00C41BD4" w:rsidRPr="00D11A97">
        <w:rPr>
          <w:rFonts w:ascii="Century Gothic" w:hAnsi="Century Gothic" w:cs="Arial"/>
          <w:sz w:val="20"/>
          <w:szCs w:val="20"/>
        </w:rPr>
        <w:t xml:space="preserve">detailed below are intended to ensure the most productive scientific use of the pooled data </w:t>
      </w:r>
      <w:r w:rsidR="00C41BD4" w:rsidRPr="00D11A97">
        <w:rPr>
          <w:rFonts w:ascii="Century Gothic" w:hAnsi="Century Gothic" w:cs="Arial"/>
          <w:color w:val="000000"/>
          <w:sz w:val="20"/>
          <w:szCs w:val="20"/>
          <w:lang w:val="ar-SA"/>
        </w:rPr>
        <w:t>while ensuring</w:t>
      </w:r>
      <w:r w:rsidR="00C41BD4" w:rsidRPr="00D11A97">
        <w:rPr>
          <w:rFonts w:ascii="Century Gothic" w:hAnsi="Century Gothic" w:cs="Arial"/>
          <w:color w:val="000000"/>
          <w:sz w:val="20"/>
          <w:szCs w:val="20"/>
        </w:rPr>
        <w:t xml:space="preserve"> that all </w:t>
      </w:r>
      <w:r w:rsidR="00C41BD4" w:rsidRPr="00D11A97">
        <w:rPr>
          <w:rFonts w:ascii="Century Gothic" w:hAnsi="Century Gothic" w:cs="Arial"/>
          <w:color w:val="000000"/>
          <w:sz w:val="20"/>
          <w:szCs w:val="20"/>
          <w:lang w:val="ar-SA"/>
        </w:rPr>
        <w:t>legal</w:t>
      </w:r>
      <w:r w:rsidR="00C41BD4" w:rsidRPr="00D11A97">
        <w:rPr>
          <w:rFonts w:ascii="Century Gothic" w:hAnsi="Century Gothic" w:cs="Arial"/>
          <w:color w:val="000000"/>
          <w:sz w:val="20"/>
          <w:szCs w:val="20"/>
        </w:rPr>
        <w:t xml:space="preserve"> and regulatory requirements as well as</w:t>
      </w:r>
      <w:r w:rsidR="00C41BD4" w:rsidRPr="00D11A97">
        <w:rPr>
          <w:rFonts w:ascii="Century Gothic" w:hAnsi="Century Gothic" w:cs="Arial"/>
          <w:color w:val="000000"/>
          <w:sz w:val="20"/>
          <w:szCs w:val="20"/>
          <w:lang w:val="ar-SA"/>
        </w:rPr>
        <w:t xml:space="preserve"> ethical imperatives are met.</w:t>
      </w:r>
    </w:p>
    <w:p w:rsidR="00D11A97" w:rsidRDefault="00D11A97">
      <w:pPr>
        <w:rPr>
          <w:rFonts w:ascii="Century Gothic" w:hAnsi="Century Gothic" w:cs="Arial"/>
          <w:color w:val="000000"/>
          <w:sz w:val="20"/>
          <w:szCs w:val="20"/>
          <w:lang w:val="ar-SA"/>
        </w:rPr>
      </w:pPr>
      <w:r>
        <w:rPr>
          <w:rFonts w:ascii="Century Gothic" w:hAnsi="Century Gothic" w:cs="Arial"/>
          <w:color w:val="000000"/>
          <w:sz w:val="20"/>
          <w:szCs w:val="20"/>
          <w:lang w:val="ar-SA"/>
        </w:rPr>
        <w:br w:type="page"/>
      </w:r>
    </w:p>
    <w:p w:rsidR="00146BB2" w:rsidRPr="00D11A97" w:rsidRDefault="00146BB2" w:rsidP="0029339F">
      <w:pPr>
        <w:spacing w:before="240" w:after="120"/>
        <w:rPr>
          <w:rFonts w:ascii="Century Gothic" w:hAnsi="Century Gothic" w:cs="Arial"/>
          <w:b/>
          <w:sz w:val="20"/>
          <w:szCs w:val="20"/>
        </w:rPr>
      </w:pPr>
      <w:bookmarkStart w:id="1" w:name="Topics_Sections"/>
      <w:bookmarkEnd w:id="1"/>
      <w:r w:rsidRPr="00D11A97">
        <w:rPr>
          <w:rFonts w:ascii="Century Gothic" w:hAnsi="Century Gothic" w:cs="Arial"/>
          <w:b/>
          <w:sz w:val="20"/>
          <w:szCs w:val="20"/>
        </w:rPr>
        <w:lastRenderedPageBreak/>
        <w:t>Definitions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237"/>
      </w:tblGrid>
      <w:tr w:rsidR="00146BB2" w:rsidRPr="00D11A97" w:rsidTr="00F65C93">
        <w:trPr>
          <w:cantSplit/>
          <w:tblHeader/>
        </w:trPr>
        <w:tc>
          <w:tcPr>
            <w:tcW w:w="1951" w:type="dxa"/>
            <w:tcBorders>
              <w:bottom w:val="single" w:sz="4" w:space="0" w:color="auto"/>
            </w:tcBorders>
            <w:shd w:val="clear" w:color="auto" w:fill="FDE9D9" w:themeFill="accent6" w:themeFillTint="33"/>
          </w:tcPr>
          <w:p w:rsidR="00146BB2" w:rsidRPr="00D11A97" w:rsidRDefault="00146BB2" w:rsidP="00AB0F97">
            <w:pPr>
              <w:spacing w:before="120" w:after="120"/>
              <w:rPr>
                <w:rFonts w:ascii="Century Gothic" w:hAnsi="Century Gothic" w:cs="Arial"/>
                <w:b/>
                <w:sz w:val="20"/>
                <w:szCs w:val="20"/>
              </w:rPr>
            </w:pPr>
            <w:r w:rsidRPr="00D11A97">
              <w:rPr>
                <w:rFonts w:ascii="Century Gothic" w:hAnsi="Century Gothic" w:cs="Arial"/>
                <w:b/>
                <w:sz w:val="20"/>
                <w:szCs w:val="20"/>
              </w:rPr>
              <w:t>Term</w:t>
            </w:r>
          </w:p>
        </w:tc>
        <w:tc>
          <w:tcPr>
            <w:tcW w:w="8237" w:type="dxa"/>
            <w:tcBorders>
              <w:bottom w:val="single" w:sz="4" w:space="0" w:color="auto"/>
            </w:tcBorders>
            <w:shd w:val="clear" w:color="auto" w:fill="FDE9D9" w:themeFill="accent6" w:themeFillTint="33"/>
          </w:tcPr>
          <w:p w:rsidR="00146BB2" w:rsidRPr="00D11A97" w:rsidRDefault="00146BB2" w:rsidP="00AB0F97">
            <w:pPr>
              <w:spacing w:before="120" w:after="120"/>
              <w:rPr>
                <w:rFonts w:ascii="Century Gothic" w:hAnsi="Century Gothic" w:cs="Arial"/>
                <w:b/>
                <w:sz w:val="20"/>
                <w:szCs w:val="20"/>
              </w:rPr>
            </w:pPr>
            <w:r w:rsidRPr="00D11A97">
              <w:rPr>
                <w:rFonts w:ascii="Century Gothic" w:hAnsi="Century Gothic" w:cs="Arial"/>
                <w:b/>
                <w:sz w:val="20"/>
                <w:szCs w:val="20"/>
              </w:rPr>
              <w:t>Definition</w:t>
            </w:r>
          </w:p>
        </w:tc>
      </w:tr>
      <w:tr w:rsidR="004155C1" w:rsidRPr="00D11A97" w:rsidTr="004155C1">
        <w:trPr>
          <w:trHeight w:val="548"/>
        </w:trPr>
        <w:tc>
          <w:tcPr>
            <w:tcW w:w="1951" w:type="dxa"/>
            <w:shd w:val="clear" w:color="auto" w:fill="auto"/>
          </w:tcPr>
          <w:p w:rsidR="004155C1" w:rsidRPr="00D11A97" w:rsidRDefault="004155C1" w:rsidP="00AB0F97">
            <w:pPr>
              <w:spacing w:before="60" w:after="60"/>
              <w:rPr>
                <w:rFonts w:ascii="Century Gothic" w:hAnsi="Century Gothic" w:cs="Arial"/>
                <w:b/>
                <w:sz w:val="20"/>
                <w:szCs w:val="20"/>
              </w:rPr>
            </w:pPr>
            <w:r w:rsidRPr="00D11A97">
              <w:rPr>
                <w:rFonts w:ascii="Century Gothic" w:hAnsi="Century Gothic" w:cs="Arial"/>
                <w:b/>
                <w:sz w:val="20"/>
                <w:szCs w:val="20"/>
              </w:rPr>
              <w:t>Covered Entity</w:t>
            </w:r>
          </w:p>
        </w:tc>
        <w:tc>
          <w:tcPr>
            <w:tcW w:w="8237" w:type="dxa"/>
            <w:shd w:val="clear" w:color="auto" w:fill="auto"/>
          </w:tcPr>
          <w:p w:rsidR="004155C1" w:rsidRPr="00D11A97" w:rsidRDefault="004155C1" w:rsidP="004155C1">
            <w:pPr>
              <w:tabs>
                <w:tab w:val="left" w:pos="2955"/>
              </w:tabs>
              <w:rPr>
                <w:rFonts w:ascii="Century Gothic" w:hAnsi="Century Gothic" w:cs="Arial"/>
                <w:sz w:val="20"/>
                <w:szCs w:val="20"/>
              </w:rPr>
            </w:pPr>
            <w:r w:rsidRPr="00D11A97">
              <w:rPr>
                <w:rFonts w:ascii="Century Gothic" w:hAnsi="Century Gothic" w:cs="Arial"/>
                <w:sz w:val="20"/>
                <w:szCs w:val="20"/>
              </w:rPr>
              <w:t xml:space="preserve">An organization to which the HIPAA Privacy Rule applies.  Nearly all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member organizations based in the US are HIPAA Covered entities.  Each Kaiser Permanente region that is a member of the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is considered a separate covered entity for the purposes of this document.</w:t>
            </w:r>
          </w:p>
        </w:tc>
      </w:tr>
      <w:tr w:rsidR="0099390A" w:rsidRPr="00D11A97" w:rsidTr="00AB0F97">
        <w:tc>
          <w:tcPr>
            <w:tcW w:w="1951" w:type="dxa"/>
          </w:tcPr>
          <w:p w:rsidR="0099390A" w:rsidRPr="00D11A97" w:rsidRDefault="0099390A" w:rsidP="00AB0F97">
            <w:pPr>
              <w:spacing w:before="60" w:after="60"/>
              <w:rPr>
                <w:rFonts w:ascii="Century Gothic" w:hAnsi="Century Gothic" w:cs="Arial"/>
                <w:sz w:val="20"/>
                <w:szCs w:val="20"/>
              </w:rPr>
            </w:pPr>
            <w:r w:rsidRPr="00D11A97">
              <w:rPr>
                <w:rFonts w:ascii="Century Gothic" w:hAnsi="Century Gothic" w:cs="Arial"/>
                <w:b/>
                <w:sz w:val="20"/>
                <w:szCs w:val="20"/>
              </w:rPr>
              <w:t>Data Disclosure</w:t>
            </w:r>
          </w:p>
        </w:tc>
        <w:tc>
          <w:tcPr>
            <w:tcW w:w="8237" w:type="dxa"/>
          </w:tcPr>
          <w:p w:rsidR="0099390A" w:rsidRPr="00D11A97" w:rsidRDefault="0099390A" w:rsidP="00C95E5A">
            <w:pPr>
              <w:spacing w:before="60" w:after="60"/>
              <w:rPr>
                <w:rFonts w:ascii="Century Gothic" w:hAnsi="Century Gothic" w:cs="Arial"/>
                <w:sz w:val="20"/>
                <w:szCs w:val="20"/>
              </w:rPr>
            </w:pPr>
            <w:r w:rsidRPr="00D11A97">
              <w:rPr>
                <w:rFonts w:ascii="Century Gothic" w:hAnsi="Century Gothic" w:cs="Arial"/>
                <w:sz w:val="20"/>
                <w:szCs w:val="20"/>
              </w:rPr>
              <w:t>The intentional release, transfer, granting of access to, or divulging of identifiable research data (e.g., limited data set, protected health information) outside the entity holding the information.</w:t>
            </w:r>
          </w:p>
        </w:tc>
      </w:tr>
      <w:tr w:rsidR="004155C1" w:rsidRPr="00D11A97" w:rsidTr="00AB0F97">
        <w:tc>
          <w:tcPr>
            <w:tcW w:w="1951" w:type="dxa"/>
          </w:tcPr>
          <w:p w:rsidR="004155C1" w:rsidRPr="00D11A97" w:rsidRDefault="004155C1" w:rsidP="00AB0F97">
            <w:pPr>
              <w:spacing w:before="60" w:after="60"/>
              <w:rPr>
                <w:rFonts w:ascii="Century Gothic" w:hAnsi="Century Gothic" w:cs="Arial"/>
                <w:b/>
                <w:sz w:val="20"/>
                <w:szCs w:val="20"/>
              </w:rPr>
            </w:pPr>
            <w:r w:rsidRPr="00D11A97">
              <w:rPr>
                <w:rFonts w:ascii="Century Gothic" w:hAnsi="Century Gothic" w:cs="Arial"/>
                <w:b/>
                <w:sz w:val="20"/>
                <w:szCs w:val="20"/>
              </w:rPr>
              <w:t>Data Ownership</w:t>
            </w:r>
          </w:p>
        </w:tc>
        <w:tc>
          <w:tcPr>
            <w:tcW w:w="8237" w:type="dxa"/>
          </w:tcPr>
          <w:p w:rsidR="004155C1" w:rsidRPr="00D11A97" w:rsidRDefault="00DA6B34" w:rsidP="00C95E5A">
            <w:pPr>
              <w:spacing w:before="60" w:after="60"/>
              <w:rPr>
                <w:rFonts w:ascii="Century Gothic" w:hAnsi="Century Gothic" w:cs="Arial"/>
                <w:sz w:val="20"/>
                <w:szCs w:val="20"/>
              </w:rPr>
            </w:pPr>
            <w:r w:rsidRPr="00D11A97">
              <w:rPr>
                <w:rFonts w:ascii="Century Gothic" w:hAnsi="Century Gothic" w:cs="Arial"/>
                <w:sz w:val="20"/>
                <w:szCs w:val="20"/>
              </w:rPr>
              <w:t>Each site has ownership over its contributed data. Therefore, it is important to recognize and respect each site’s contributions to creating a pooled analytic data set</w:t>
            </w:r>
          </w:p>
        </w:tc>
      </w:tr>
      <w:tr w:rsidR="0099390A" w:rsidRPr="00D11A97" w:rsidTr="00AB0F97">
        <w:tc>
          <w:tcPr>
            <w:tcW w:w="1951" w:type="dxa"/>
          </w:tcPr>
          <w:p w:rsidR="0099390A" w:rsidRPr="00D11A97" w:rsidRDefault="0099390A" w:rsidP="00AB0F97">
            <w:pPr>
              <w:spacing w:before="60" w:after="60"/>
              <w:rPr>
                <w:rFonts w:ascii="Century Gothic" w:hAnsi="Century Gothic" w:cs="Arial"/>
                <w:sz w:val="20"/>
                <w:szCs w:val="20"/>
              </w:rPr>
            </w:pPr>
            <w:r w:rsidRPr="00D11A97">
              <w:rPr>
                <w:rFonts w:ascii="Century Gothic" w:hAnsi="Century Gothic" w:cs="Arial"/>
                <w:b/>
                <w:sz w:val="20"/>
                <w:szCs w:val="20"/>
              </w:rPr>
              <w:t>Data Sharing</w:t>
            </w:r>
          </w:p>
        </w:tc>
        <w:tc>
          <w:tcPr>
            <w:tcW w:w="8237" w:type="dxa"/>
          </w:tcPr>
          <w:p w:rsidR="0099390A" w:rsidRPr="00D11A97" w:rsidRDefault="0099390A" w:rsidP="00DA6B34">
            <w:pPr>
              <w:spacing w:before="60" w:after="60"/>
              <w:rPr>
                <w:rFonts w:ascii="Century Gothic" w:hAnsi="Century Gothic" w:cs="Arial"/>
                <w:sz w:val="20"/>
                <w:szCs w:val="20"/>
              </w:rPr>
            </w:pPr>
            <w:r w:rsidRPr="00D11A97">
              <w:rPr>
                <w:rFonts w:ascii="Century Gothic" w:hAnsi="Century Gothic" w:cs="Arial"/>
                <w:sz w:val="20"/>
                <w:szCs w:val="20"/>
              </w:rPr>
              <w:t xml:space="preserve">The intentional release, transfer, granting of access to, or divulging </w:t>
            </w:r>
            <w:proofErr w:type="gramStart"/>
            <w:r w:rsidRPr="00D11A97">
              <w:rPr>
                <w:rFonts w:ascii="Century Gothic" w:hAnsi="Century Gothic" w:cs="Arial"/>
                <w:sz w:val="20"/>
                <w:szCs w:val="20"/>
              </w:rPr>
              <w:t>of  research</w:t>
            </w:r>
            <w:proofErr w:type="gramEnd"/>
            <w:r w:rsidRPr="00D11A97">
              <w:rPr>
                <w:rFonts w:ascii="Century Gothic" w:hAnsi="Century Gothic" w:cs="Arial"/>
                <w:sz w:val="20"/>
                <w:szCs w:val="20"/>
              </w:rPr>
              <w:t xml:space="preserve"> data outside the entity holding the information.</w:t>
            </w:r>
          </w:p>
        </w:tc>
      </w:tr>
      <w:tr w:rsidR="0099390A" w:rsidRPr="00D11A97" w:rsidTr="00AB0F97">
        <w:tc>
          <w:tcPr>
            <w:tcW w:w="1951" w:type="dxa"/>
          </w:tcPr>
          <w:p w:rsidR="0099390A" w:rsidRPr="00D11A97" w:rsidRDefault="0099390A" w:rsidP="00AB0F97">
            <w:pPr>
              <w:spacing w:before="60" w:after="60"/>
              <w:rPr>
                <w:rFonts w:ascii="Century Gothic" w:hAnsi="Century Gothic" w:cs="Arial"/>
                <w:sz w:val="20"/>
                <w:szCs w:val="20"/>
              </w:rPr>
            </w:pPr>
            <w:r w:rsidRPr="00D11A97">
              <w:rPr>
                <w:rFonts w:ascii="Century Gothic" w:hAnsi="Century Gothic" w:cs="Arial"/>
                <w:b/>
                <w:sz w:val="20"/>
                <w:szCs w:val="20"/>
              </w:rPr>
              <w:t>Data Use</w:t>
            </w:r>
          </w:p>
        </w:tc>
        <w:tc>
          <w:tcPr>
            <w:tcW w:w="8237" w:type="dxa"/>
          </w:tcPr>
          <w:p w:rsidR="0099390A" w:rsidRPr="00D11A97" w:rsidRDefault="00DA6B34" w:rsidP="00C95E5A">
            <w:pPr>
              <w:spacing w:before="60" w:after="60"/>
              <w:rPr>
                <w:rFonts w:ascii="Century Gothic" w:hAnsi="Century Gothic" w:cs="Arial"/>
                <w:sz w:val="20"/>
                <w:szCs w:val="20"/>
              </w:rPr>
            </w:pPr>
            <w:r w:rsidRPr="00D11A97">
              <w:rPr>
                <w:rFonts w:ascii="Century Gothic" w:hAnsi="Century Gothic" w:cs="Arial"/>
                <w:sz w:val="20"/>
                <w:szCs w:val="20"/>
              </w:rPr>
              <w:t>Using, applying, examining, or analyzing protected health information (PHI) or a data set containing PHI or de-identified information.</w:t>
            </w:r>
          </w:p>
        </w:tc>
      </w:tr>
      <w:tr w:rsidR="0099390A" w:rsidRPr="00D11A97" w:rsidTr="00AB0F97">
        <w:tc>
          <w:tcPr>
            <w:tcW w:w="1951" w:type="dxa"/>
          </w:tcPr>
          <w:p w:rsidR="0099390A" w:rsidRPr="00D11A97" w:rsidRDefault="0099390A" w:rsidP="00AB0F97">
            <w:pPr>
              <w:spacing w:before="60" w:after="60"/>
              <w:rPr>
                <w:rFonts w:ascii="Century Gothic" w:hAnsi="Century Gothic" w:cs="Arial"/>
                <w:b/>
                <w:sz w:val="20"/>
                <w:szCs w:val="20"/>
              </w:rPr>
            </w:pPr>
            <w:r w:rsidRPr="00D11A97">
              <w:rPr>
                <w:rFonts w:ascii="Century Gothic" w:hAnsi="Century Gothic" w:cs="Arial"/>
                <w:b/>
                <w:sz w:val="20"/>
                <w:szCs w:val="20"/>
              </w:rPr>
              <w:t>Data Sharing Agreement (DSA)</w:t>
            </w:r>
          </w:p>
        </w:tc>
        <w:tc>
          <w:tcPr>
            <w:tcW w:w="8237" w:type="dxa"/>
          </w:tcPr>
          <w:p w:rsidR="0099390A" w:rsidRPr="00D11A97" w:rsidRDefault="00F71EFD" w:rsidP="00C36CFB">
            <w:pPr>
              <w:spacing w:before="60" w:after="60"/>
              <w:rPr>
                <w:rFonts w:ascii="Century Gothic" w:hAnsi="Century Gothic" w:cs="Arial"/>
                <w:sz w:val="20"/>
                <w:szCs w:val="20"/>
              </w:rPr>
            </w:pPr>
            <w:r w:rsidRPr="00D11A97">
              <w:rPr>
                <w:rFonts w:ascii="Century Gothic" w:hAnsi="Century Gothic" w:cs="Arial"/>
                <w:sz w:val="20"/>
                <w:szCs w:val="20"/>
              </w:rPr>
              <w:t>Written agreement between a covered entity and an outside party restricting the use of a de-identified research data set.</w:t>
            </w:r>
          </w:p>
        </w:tc>
      </w:tr>
      <w:tr w:rsidR="00146BB2" w:rsidRPr="00D11A97" w:rsidTr="00AB0F97">
        <w:tc>
          <w:tcPr>
            <w:tcW w:w="1951" w:type="dxa"/>
          </w:tcPr>
          <w:p w:rsidR="00146BB2" w:rsidRPr="00D11A97" w:rsidRDefault="00C95E5A" w:rsidP="00AB0F97">
            <w:pPr>
              <w:spacing w:before="60" w:after="60"/>
              <w:rPr>
                <w:rFonts w:ascii="Century Gothic" w:hAnsi="Century Gothic" w:cs="Arial"/>
                <w:b/>
                <w:sz w:val="20"/>
                <w:szCs w:val="20"/>
              </w:rPr>
            </w:pPr>
            <w:r w:rsidRPr="00D11A97">
              <w:rPr>
                <w:rFonts w:ascii="Century Gothic" w:hAnsi="Century Gothic" w:cs="Arial"/>
                <w:b/>
                <w:sz w:val="20"/>
                <w:szCs w:val="20"/>
              </w:rPr>
              <w:t>Data Use Agreement</w:t>
            </w:r>
          </w:p>
        </w:tc>
        <w:tc>
          <w:tcPr>
            <w:tcW w:w="8237" w:type="dxa"/>
          </w:tcPr>
          <w:p w:rsidR="00945126" w:rsidRPr="00D11A97" w:rsidRDefault="00945126" w:rsidP="00C95E5A">
            <w:pPr>
              <w:spacing w:before="60" w:after="60"/>
              <w:rPr>
                <w:rFonts w:ascii="Century Gothic" w:hAnsi="Century Gothic" w:cs="Arial"/>
                <w:sz w:val="20"/>
                <w:szCs w:val="20"/>
              </w:rPr>
            </w:pPr>
            <w:r w:rsidRPr="00D11A97">
              <w:rPr>
                <w:rFonts w:ascii="Century Gothic" w:hAnsi="Century Gothic" w:cs="Arial"/>
                <w:sz w:val="20"/>
                <w:szCs w:val="20"/>
              </w:rPr>
              <w:t xml:space="preserve">A Data Use Agreement (DUA) is required for disclosing limited data sets, as defined by HIPAA standards. </w:t>
            </w:r>
            <w:r w:rsidR="0099390A" w:rsidRPr="00D11A97">
              <w:rPr>
                <w:rFonts w:ascii="Century Gothic" w:hAnsi="Century Gothic" w:cs="Arial"/>
                <w:sz w:val="20"/>
                <w:szCs w:val="20"/>
              </w:rPr>
              <w:t xml:space="preserve">Written agreement between a covered entity and an outside party requesting a disclosure of PHI contained in a limited data set.  </w:t>
            </w:r>
            <w:r w:rsidRPr="00D11A97">
              <w:rPr>
                <w:rFonts w:ascii="Century Gothic" w:hAnsi="Century Gothic" w:cs="Arial"/>
                <w:sz w:val="20"/>
                <w:szCs w:val="20"/>
              </w:rPr>
              <w:t xml:space="preserve">Before a limited data set is released IRB approval must be obtained, and both the DUA and subcontract agreement must be fully executed. </w:t>
            </w:r>
          </w:p>
          <w:p w:rsidR="00C95E5A" w:rsidRPr="00D11A97" w:rsidRDefault="00C95E5A" w:rsidP="00C95E5A">
            <w:pPr>
              <w:spacing w:before="60" w:after="60"/>
              <w:rPr>
                <w:rFonts w:ascii="Century Gothic" w:hAnsi="Century Gothic" w:cs="Arial"/>
                <w:sz w:val="20"/>
                <w:szCs w:val="20"/>
              </w:rPr>
            </w:pPr>
            <w:r w:rsidRPr="00D11A97">
              <w:rPr>
                <w:rFonts w:ascii="Century Gothic" w:hAnsi="Century Gothic" w:cs="Arial"/>
                <w:sz w:val="20"/>
                <w:szCs w:val="20"/>
              </w:rPr>
              <w:t>A data use agreement must:</w:t>
            </w:r>
          </w:p>
          <w:p w:rsidR="00C95E5A" w:rsidRPr="00D11A97" w:rsidRDefault="00C95E5A" w:rsidP="00C95E5A">
            <w:pPr>
              <w:spacing w:before="60" w:after="60"/>
              <w:rPr>
                <w:rFonts w:ascii="Century Gothic" w:hAnsi="Century Gothic" w:cs="Arial"/>
                <w:sz w:val="20"/>
                <w:szCs w:val="20"/>
              </w:rPr>
            </w:pPr>
            <w:r w:rsidRPr="00D11A97">
              <w:rPr>
                <w:rFonts w:ascii="Century Gothic" w:hAnsi="Century Gothic" w:cs="Arial"/>
                <w:sz w:val="20"/>
                <w:szCs w:val="20"/>
              </w:rPr>
              <w:t>1.</w:t>
            </w:r>
            <w:r w:rsidR="00A46AFC" w:rsidRPr="00D11A97">
              <w:rPr>
                <w:rFonts w:ascii="Century Gothic" w:hAnsi="Century Gothic" w:cs="Arial"/>
                <w:sz w:val="20"/>
                <w:szCs w:val="20"/>
              </w:rPr>
              <w:t xml:space="preserve">  </w:t>
            </w:r>
            <w:r w:rsidRPr="00D11A97">
              <w:rPr>
                <w:rFonts w:ascii="Century Gothic" w:hAnsi="Century Gothic" w:cs="Arial"/>
                <w:sz w:val="20"/>
                <w:szCs w:val="20"/>
              </w:rPr>
              <w:t>establish the permitted uses and disclosure (and may not authorize the data recipient to use or further disclose information that would violate HIPAA privacy requirements</w:t>
            </w:r>
            <w:r w:rsidR="00564638" w:rsidRPr="00D11A97">
              <w:rPr>
                <w:rFonts w:ascii="Century Gothic" w:hAnsi="Century Gothic" w:cs="Arial"/>
                <w:sz w:val="20"/>
                <w:szCs w:val="20"/>
              </w:rPr>
              <w:t xml:space="preserve"> for an entity</w:t>
            </w:r>
            <w:r w:rsidRPr="00D11A97">
              <w:rPr>
                <w:rFonts w:ascii="Century Gothic" w:hAnsi="Century Gothic" w:cs="Arial"/>
                <w:sz w:val="20"/>
                <w:szCs w:val="20"/>
              </w:rPr>
              <w:t xml:space="preserve">) </w:t>
            </w:r>
          </w:p>
          <w:p w:rsidR="00C95E5A" w:rsidRPr="00D11A97" w:rsidRDefault="00C95E5A" w:rsidP="00C95E5A">
            <w:pPr>
              <w:spacing w:before="60" w:after="60"/>
              <w:rPr>
                <w:rFonts w:ascii="Century Gothic" w:hAnsi="Century Gothic" w:cs="Arial"/>
                <w:sz w:val="20"/>
                <w:szCs w:val="20"/>
              </w:rPr>
            </w:pPr>
            <w:r w:rsidRPr="00D11A97">
              <w:rPr>
                <w:rFonts w:ascii="Century Gothic" w:hAnsi="Century Gothic" w:cs="Arial"/>
                <w:sz w:val="20"/>
                <w:szCs w:val="20"/>
              </w:rPr>
              <w:t>2.</w:t>
            </w:r>
            <w:r w:rsidR="00A46AFC" w:rsidRPr="00D11A97">
              <w:rPr>
                <w:rFonts w:ascii="Century Gothic" w:hAnsi="Century Gothic" w:cs="Arial"/>
                <w:sz w:val="20"/>
                <w:szCs w:val="20"/>
              </w:rPr>
              <w:t xml:space="preserve">  </w:t>
            </w:r>
            <w:r w:rsidRPr="00D11A97">
              <w:rPr>
                <w:rFonts w:ascii="Century Gothic" w:hAnsi="Century Gothic" w:cs="Arial"/>
                <w:sz w:val="20"/>
                <w:szCs w:val="20"/>
              </w:rPr>
              <w:t xml:space="preserve">establish who is permitted to use or receive the limited data set, and </w:t>
            </w:r>
          </w:p>
          <w:p w:rsidR="00C95E5A" w:rsidRPr="00D11A97" w:rsidRDefault="00C95E5A" w:rsidP="00C95E5A">
            <w:pPr>
              <w:spacing w:before="60" w:after="60"/>
              <w:rPr>
                <w:rFonts w:ascii="Century Gothic" w:hAnsi="Century Gothic" w:cs="Arial"/>
                <w:sz w:val="20"/>
                <w:szCs w:val="20"/>
              </w:rPr>
            </w:pPr>
            <w:r w:rsidRPr="00D11A97">
              <w:rPr>
                <w:rFonts w:ascii="Century Gothic" w:hAnsi="Century Gothic" w:cs="Arial"/>
                <w:sz w:val="20"/>
                <w:szCs w:val="20"/>
              </w:rPr>
              <w:t>3.</w:t>
            </w:r>
            <w:r w:rsidR="00A46AFC" w:rsidRPr="00D11A97">
              <w:rPr>
                <w:rFonts w:ascii="Century Gothic" w:hAnsi="Century Gothic" w:cs="Arial"/>
                <w:sz w:val="20"/>
                <w:szCs w:val="20"/>
              </w:rPr>
              <w:t xml:space="preserve">  </w:t>
            </w:r>
            <w:r w:rsidRPr="00D11A97">
              <w:rPr>
                <w:rFonts w:ascii="Century Gothic" w:hAnsi="Century Gothic" w:cs="Arial"/>
                <w:sz w:val="20"/>
                <w:szCs w:val="20"/>
              </w:rPr>
              <w:t>promise that the data recipient will</w:t>
            </w:r>
            <w:r w:rsidR="007F3064" w:rsidRPr="00D11A97">
              <w:rPr>
                <w:rFonts w:ascii="Century Gothic" w:hAnsi="Century Gothic" w:cs="Arial"/>
                <w:sz w:val="20"/>
                <w:szCs w:val="20"/>
              </w:rPr>
              <w:t>:</w:t>
            </w:r>
            <w:r w:rsidRPr="00D11A97">
              <w:rPr>
                <w:rFonts w:ascii="Century Gothic" w:hAnsi="Century Gothic" w:cs="Arial"/>
                <w:sz w:val="20"/>
                <w:szCs w:val="20"/>
              </w:rPr>
              <w:t xml:space="preserve"> </w:t>
            </w:r>
          </w:p>
          <w:p w:rsidR="00C95E5A" w:rsidRPr="00D11A97" w:rsidRDefault="00C95E5A" w:rsidP="00564638">
            <w:pPr>
              <w:spacing w:before="60" w:after="60"/>
              <w:ind w:left="720"/>
              <w:rPr>
                <w:rFonts w:ascii="Century Gothic" w:hAnsi="Century Gothic" w:cs="Arial"/>
                <w:sz w:val="20"/>
                <w:szCs w:val="20"/>
              </w:rPr>
            </w:pPr>
            <w:r w:rsidRPr="00D11A97">
              <w:rPr>
                <w:rFonts w:ascii="Century Gothic" w:hAnsi="Century Gothic" w:cs="Arial"/>
                <w:sz w:val="20"/>
                <w:szCs w:val="20"/>
              </w:rPr>
              <w:t>A.</w:t>
            </w:r>
            <w:r w:rsidR="002E441C" w:rsidRPr="00D11A97">
              <w:rPr>
                <w:rFonts w:ascii="Century Gothic" w:hAnsi="Century Gothic" w:cs="Arial"/>
                <w:sz w:val="20"/>
                <w:szCs w:val="20"/>
              </w:rPr>
              <w:t xml:space="preserve">  </w:t>
            </w:r>
            <w:r w:rsidRPr="00D11A97">
              <w:rPr>
                <w:rFonts w:ascii="Century Gothic" w:hAnsi="Century Gothic" w:cs="Arial"/>
                <w:sz w:val="20"/>
                <w:szCs w:val="20"/>
              </w:rPr>
              <w:t>not use or further disclose the information other than as permitted by the agreement or as otherwise required by law</w:t>
            </w:r>
            <w:r w:rsidR="00C36CFB" w:rsidRPr="00D11A97">
              <w:rPr>
                <w:rFonts w:ascii="Century Gothic" w:hAnsi="Century Gothic" w:cs="Arial"/>
                <w:sz w:val="20"/>
                <w:szCs w:val="20"/>
              </w:rPr>
              <w:t>,</w:t>
            </w:r>
            <w:r w:rsidRPr="00D11A97">
              <w:rPr>
                <w:rFonts w:ascii="Century Gothic" w:hAnsi="Century Gothic" w:cs="Arial"/>
                <w:sz w:val="20"/>
                <w:szCs w:val="20"/>
              </w:rPr>
              <w:t xml:space="preserve"> </w:t>
            </w:r>
          </w:p>
          <w:p w:rsidR="00C95E5A" w:rsidRPr="00D11A97" w:rsidRDefault="00C95E5A" w:rsidP="00564638">
            <w:pPr>
              <w:spacing w:before="60" w:after="60"/>
              <w:ind w:left="720"/>
              <w:rPr>
                <w:rFonts w:ascii="Century Gothic" w:hAnsi="Century Gothic" w:cs="Arial"/>
                <w:sz w:val="20"/>
                <w:szCs w:val="20"/>
              </w:rPr>
            </w:pPr>
            <w:r w:rsidRPr="00D11A97">
              <w:rPr>
                <w:rFonts w:ascii="Century Gothic" w:hAnsi="Century Gothic" w:cs="Arial"/>
                <w:sz w:val="20"/>
                <w:szCs w:val="20"/>
              </w:rPr>
              <w:t>B.</w:t>
            </w:r>
            <w:r w:rsidR="002E441C" w:rsidRPr="00D11A97">
              <w:rPr>
                <w:rFonts w:ascii="Century Gothic" w:hAnsi="Century Gothic" w:cs="Arial"/>
                <w:sz w:val="20"/>
                <w:szCs w:val="20"/>
              </w:rPr>
              <w:t xml:space="preserve">  </w:t>
            </w:r>
            <w:r w:rsidRPr="00D11A97">
              <w:rPr>
                <w:rFonts w:ascii="Century Gothic" w:hAnsi="Century Gothic" w:cs="Arial"/>
                <w:sz w:val="20"/>
                <w:szCs w:val="20"/>
              </w:rPr>
              <w:t>use appropriate safeguards to prevent use or disclosure of the information other than as provided for by the data use agreement</w:t>
            </w:r>
            <w:r w:rsidR="00C36CFB" w:rsidRPr="00D11A97">
              <w:rPr>
                <w:rFonts w:ascii="Century Gothic" w:hAnsi="Century Gothic" w:cs="Arial"/>
                <w:sz w:val="20"/>
                <w:szCs w:val="20"/>
              </w:rPr>
              <w:t>,</w:t>
            </w:r>
            <w:r w:rsidRPr="00D11A97">
              <w:rPr>
                <w:rFonts w:ascii="Century Gothic" w:hAnsi="Century Gothic" w:cs="Arial"/>
                <w:sz w:val="20"/>
                <w:szCs w:val="20"/>
              </w:rPr>
              <w:t xml:space="preserve"> </w:t>
            </w:r>
          </w:p>
          <w:p w:rsidR="00C95E5A" w:rsidRPr="00D11A97" w:rsidRDefault="00C95E5A" w:rsidP="00564638">
            <w:pPr>
              <w:spacing w:before="60" w:after="60"/>
              <w:ind w:left="720"/>
              <w:rPr>
                <w:rFonts w:ascii="Century Gothic" w:hAnsi="Century Gothic" w:cs="Arial"/>
                <w:sz w:val="20"/>
                <w:szCs w:val="20"/>
              </w:rPr>
            </w:pPr>
            <w:r w:rsidRPr="00D11A97">
              <w:rPr>
                <w:rFonts w:ascii="Century Gothic" w:hAnsi="Century Gothic" w:cs="Arial"/>
                <w:sz w:val="20"/>
                <w:szCs w:val="20"/>
              </w:rPr>
              <w:t>C.</w:t>
            </w:r>
            <w:r w:rsidR="002E441C" w:rsidRPr="00D11A97">
              <w:rPr>
                <w:rFonts w:ascii="Century Gothic" w:hAnsi="Century Gothic" w:cs="Arial"/>
                <w:sz w:val="20"/>
                <w:szCs w:val="20"/>
              </w:rPr>
              <w:t xml:space="preserve">  </w:t>
            </w:r>
            <w:r w:rsidRPr="00D11A97">
              <w:rPr>
                <w:rFonts w:ascii="Century Gothic" w:hAnsi="Century Gothic" w:cs="Arial"/>
                <w:sz w:val="20"/>
                <w:szCs w:val="20"/>
              </w:rPr>
              <w:t xml:space="preserve">report to </w:t>
            </w:r>
            <w:r w:rsidR="00564638" w:rsidRPr="00D11A97">
              <w:rPr>
                <w:rFonts w:ascii="Century Gothic" w:hAnsi="Century Gothic" w:cs="Arial"/>
                <w:sz w:val="20"/>
                <w:szCs w:val="20"/>
              </w:rPr>
              <w:t>data provider</w:t>
            </w:r>
            <w:r w:rsidRPr="00D11A97">
              <w:rPr>
                <w:rFonts w:ascii="Century Gothic" w:hAnsi="Century Gothic" w:cs="Arial"/>
                <w:sz w:val="20"/>
                <w:szCs w:val="20"/>
              </w:rPr>
              <w:t xml:space="preserve"> any use or disclosure of the information not permitted by the agreement of which the recipient becomes aware</w:t>
            </w:r>
            <w:r w:rsidR="00C36CFB" w:rsidRPr="00D11A97">
              <w:rPr>
                <w:rFonts w:ascii="Century Gothic" w:hAnsi="Century Gothic" w:cs="Arial"/>
                <w:sz w:val="20"/>
                <w:szCs w:val="20"/>
              </w:rPr>
              <w:t>,</w:t>
            </w:r>
            <w:r w:rsidRPr="00D11A97">
              <w:rPr>
                <w:rFonts w:ascii="Century Gothic" w:hAnsi="Century Gothic" w:cs="Arial"/>
                <w:sz w:val="20"/>
                <w:szCs w:val="20"/>
              </w:rPr>
              <w:t xml:space="preserve"> </w:t>
            </w:r>
          </w:p>
          <w:p w:rsidR="00C95E5A" w:rsidRPr="00D11A97" w:rsidRDefault="00C95E5A" w:rsidP="00564638">
            <w:pPr>
              <w:spacing w:before="60" w:after="60"/>
              <w:ind w:left="720"/>
              <w:rPr>
                <w:rFonts w:ascii="Century Gothic" w:hAnsi="Century Gothic" w:cs="Arial"/>
                <w:sz w:val="20"/>
                <w:szCs w:val="20"/>
              </w:rPr>
            </w:pPr>
            <w:r w:rsidRPr="00D11A97">
              <w:rPr>
                <w:rFonts w:ascii="Century Gothic" w:hAnsi="Century Gothic" w:cs="Arial"/>
                <w:sz w:val="20"/>
                <w:szCs w:val="20"/>
              </w:rPr>
              <w:t>D.</w:t>
            </w:r>
            <w:r w:rsidR="002E441C" w:rsidRPr="00D11A97">
              <w:rPr>
                <w:rFonts w:ascii="Century Gothic" w:hAnsi="Century Gothic" w:cs="Arial"/>
                <w:sz w:val="20"/>
                <w:szCs w:val="20"/>
              </w:rPr>
              <w:t xml:space="preserve">  </w:t>
            </w:r>
            <w:r w:rsidRPr="00D11A97">
              <w:rPr>
                <w:rFonts w:ascii="Century Gothic" w:hAnsi="Century Gothic" w:cs="Arial"/>
                <w:sz w:val="20"/>
                <w:szCs w:val="20"/>
              </w:rPr>
              <w:t>ensure that any agents, including a subcontractor, agree to the same restrictions and conditions that are in the agreement</w:t>
            </w:r>
            <w:r w:rsidR="00C36CFB" w:rsidRPr="00D11A97">
              <w:rPr>
                <w:rFonts w:ascii="Century Gothic" w:hAnsi="Century Gothic" w:cs="Arial"/>
                <w:sz w:val="20"/>
                <w:szCs w:val="20"/>
              </w:rPr>
              <w:t>, or</w:t>
            </w:r>
            <w:r w:rsidRPr="00D11A97">
              <w:rPr>
                <w:rFonts w:ascii="Century Gothic" w:hAnsi="Century Gothic" w:cs="Arial"/>
                <w:sz w:val="20"/>
                <w:szCs w:val="20"/>
              </w:rPr>
              <w:t xml:space="preserve"> </w:t>
            </w:r>
          </w:p>
          <w:p w:rsidR="00146BB2" w:rsidRPr="00D11A97" w:rsidRDefault="007F3064" w:rsidP="002E441C">
            <w:pPr>
              <w:spacing w:before="60" w:after="60"/>
              <w:ind w:left="720"/>
              <w:rPr>
                <w:rFonts w:ascii="Century Gothic" w:hAnsi="Century Gothic" w:cs="Arial"/>
                <w:sz w:val="20"/>
                <w:szCs w:val="20"/>
              </w:rPr>
            </w:pPr>
            <w:proofErr w:type="gramStart"/>
            <w:r w:rsidRPr="00D11A97">
              <w:rPr>
                <w:rFonts w:ascii="Century Gothic" w:hAnsi="Century Gothic" w:cs="Arial"/>
                <w:sz w:val="20"/>
                <w:szCs w:val="20"/>
              </w:rPr>
              <w:t>E</w:t>
            </w:r>
            <w:r w:rsidR="00C95E5A" w:rsidRPr="00D11A97">
              <w:rPr>
                <w:rFonts w:ascii="Century Gothic" w:hAnsi="Century Gothic" w:cs="Arial"/>
                <w:sz w:val="20"/>
                <w:szCs w:val="20"/>
              </w:rPr>
              <w:t>.</w:t>
            </w:r>
            <w:r w:rsidR="002E441C" w:rsidRPr="00D11A97">
              <w:rPr>
                <w:rFonts w:ascii="Century Gothic" w:hAnsi="Century Gothic" w:cs="Arial"/>
                <w:sz w:val="20"/>
                <w:szCs w:val="20"/>
              </w:rPr>
              <w:t xml:space="preserve">  </w:t>
            </w:r>
            <w:r w:rsidR="00C95E5A" w:rsidRPr="00D11A97">
              <w:rPr>
                <w:rFonts w:ascii="Century Gothic" w:hAnsi="Century Gothic" w:cs="Arial"/>
                <w:sz w:val="20"/>
                <w:szCs w:val="20"/>
              </w:rPr>
              <w:t>not</w:t>
            </w:r>
            <w:proofErr w:type="gramEnd"/>
            <w:r w:rsidR="00C95E5A" w:rsidRPr="00D11A97">
              <w:rPr>
                <w:rFonts w:ascii="Century Gothic" w:hAnsi="Century Gothic" w:cs="Arial"/>
                <w:sz w:val="20"/>
                <w:szCs w:val="20"/>
              </w:rPr>
              <w:t xml:space="preserve"> identify the information or contact the individuals</w:t>
            </w:r>
            <w:r w:rsidRPr="00D11A97">
              <w:rPr>
                <w:rFonts w:ascii="Century Gothic" w:hAnsi="Century Gothic" w:cs="Arial"/>
                <w:sz w:val="20"/>
                <w:szCs w:val="20"/>
              </w:rPr>
              <w:t>.</w:t>
            </w:r>
          </w:p>
        </w:tc>
      </w:tr>
      <w:tr w:rsidR="0099390A" w:rsidRPr="00D11A97" w:rsidTr="00AB0F97">
        <w:tc>
          <w:tcPr>
            <w:tcW w:w="1951" w:type="dxa"/>
          </w:tcPr>
          <w:p w:rsidR="0099390A" w:rsidRPr="00D11A97" w:rsidRDefault="0099390A" w:rsidP="00AB0F97">
            <w:pPr>
              <w:spacing w:before="60" w:after="60"/>
              <w:rPr>
                <w:rFonts w:ascii="Century Gothic" w:hAnsi="Century Gothic" w:cs="Arial"/>
                <w:sz w:val="20"/>
                <w:szCs w:val="20"/>
              </w:rPr>
            </w:pPr>
            <w:r w:rsidRPr="00D11A97">
              <w:rPr>
                <w:rFonts w:ascii="Century Gothic" w:hAnsi="Century Gothic" w:cs="Arial"/>
                <w:b/>
                <w:sz w:val="20"/>
                <w:szCs w:val="20"/>
              </w:rPr>
              <w:t>De-Identified Research Data</w:t>
            </w:r>
          </w:p>
        </w:tc>
        <w:tc>
          <w:tcPr>
            <w:tcW w:w="8237" w:type="dxa"/>
          </w:tcPr>
          <w:p w:rsidR="00DA6B34" w:rsidRPr="00D11A97" w:rsidRDefault="00DA6B34" w:rsidP="00DA6B34">
            <w:pPr>
              <w:spacing w:before="120" w:after="120"/>
              <w:rPr>
                <w:rFonts w:ascii="Century Gothic" w:hAnsi="Century Gothic" w:cs="Arial"/>
                <w:sz w:val="20"/>
                <w:szCs w:val="20"/>
              </w:rPr>
            </w:pPr>
            <w:r w:rsidRPr="00D11A97">
              <w:rPr>
                <w:rFonts w:ascii="Century Gothic" w:hAnsi="Century Gothic" w:cs="Arial"/>
                <w:sz w:val="20"/>
                <w:szCs w:val="20"/>
              </w:rPr>
              <w:t xml:space="preserve">Per the HIPAA Privacy Rule, information that is generated, collected, and/or reported for the purpose of research according to standard research rules, and has been stripped of patient identifiers, including all elements of protected health information (PHI). </w:t>
            </w:r>
          </w:p>
          <w:p w:rsidR="00DA6B34" w:rsidRPr="00D11A97" w:rsidRDefault="00DA6B34" w:rsidP="00DA6B34">
            <w:pPr>
              <w:spacing w:before="120" w:after="120"/>
              <w:rPr>
                <w:rFonts w:ascii="Century Gothic" w:hAnsi="Century Gothic"/>
                <w:sz w:val="20"/>
                <w:szCs w:val="20"/>
              </w:rPr>
            </w:pPr>
            <w:r w:rsidRPr="00D11A97">
              <w:rPr>
                <w:rFonts w:ascii="Century Gothic" w:hAnsi="Century Gothic"/>
                <w:sz w:val="20"/>
                <w:szCs w:val="20"/>
              </w:rPr>
              <w:t xml:space="preserve">De-identified research data is anonymous.  Aggregate data (e.g., counts of people, events, etc.) is nearly always de-identified, but not all de-identified data is </w:t>
            </w:r>
            <w:r w:rsidRPr="00D11A97">
              <w:rPr>
                <w:rFonts w:ascii="Century Gothic" w:hAnsi="Century Gothic"/>
                <w:sz w:val="20"/>
                <w:szCs w:val="20"/>
              </w:rPr>
              <w:lastRenderedPageBreak/>
              <w:t xml:space="preserve">in aggregate form. The health plan(s) from which it originates may or may not be identified, and if identified should not be explicit or identifiable. </w:t>
            </w:r>
          </w:p>
          <w:p w:rsidR="00DA6B34" w:rsidRPr="00D11A97" w:rsidRDefault="00DA6B34" w:rsidP="00DA6B34">
            <w:pPr>
              <w:spacing w:before="120" w:after="120"/>
              <w:rPr>
                <w:rFonts w:ascii="Century Gothic" w:hAnsi="Century Gothic" w:cs="Arial"/>
                <w:sz w:val="20"/>
                <w:szCs w:val="20"/>
              </w:rPr>
            </w:pPr>
            <w:r w:rsidRPr="00D11A97">
              <w:rPr>
                <w:rFonts w:ascii="Century Gothic" w:hAnsi="Century Gothic"/>
                <w:sz w:val="20"/>
                <w:szCs w:val="20"/>
              </w:rPr>
              <w:t xml:space="preserve">De-identified research data is provided by or on behalf of the covered entity from its patients’ or members’ medical records and other information, including but not limited to </w:t>
            </w:r>
            <w:r w:rsidRPr="00D11A97">
              <w:rPr>
                <w:rFonts w:ascii="Century Gothic" w:hAnsi="Century Gothic" w:cs="Arial"/>
                <w:sz w:val="20"/>
                <w:szCs w:val="20"/>
              </w:rPr>
              <w:t xml:space="preserve">health care delivery practices, utilization data, pharmacy data, membership or other clinical or health plan information. </w:t>
            </w:r>
          </w:p>
          <w:p w:rsidR="0099390A" w:rsidRPr="00D11A97" w:rsidRDefault="00DA6B34" w:rsidP="0099390A">
            <w:pPr>
              <w:spacing w:before="60" w:after="60"/>
              <w:rPr>
                <w:rFonts w:ascii="Century Gothic" w:hAnsi="Century Gothic" w:cs="Arial"/>
                <w:sz w:val="20"/>
                <w:szCs w:val="20"/>
              </w:rPr>
            </w:pPr>
            <w:r w:rsidRPr="00D11A97">
              <w:rPr>
                <w:rFonts w:ascii="Century Gothic" w:hAnsi="Century Gothic" w:cs="Arial"/>
                <w:sz w:val="20"/>
                <w:szCs w:val="20"/>
              </w:rPr>
              <w:t xml:space="preserve">Recipients of de-identified data must not attempt to re-identify it.  That is, they may not link it to identifiable data, PHI or otherwise re-identify individuals contributing to the data in any way. </w:t>
            </w:r>
            <w:r w:rsidR="0099390A" w:rsidRPr="00D11A97">
              <w:rPr>
                <w:rFonts w:ascii="Century Gothic" w:hAnsi="Century Gothic" w:cs="Arial"/>
                <w:sz w:val="20"/>
                <w:szCs w:val="20"/>
              </w:rPr>
              <w:t xml:space="preserve"> </w:t>
            </w:r>
          </w:p>
        </w:tc>
      </w:tr>
      <w:tr w:rsidR="0099390A" w:rsidRPr="00D11A97" w:rsidTr="00AB0F97">
        <w:tc>
          <w:tcPr>
            <w:tcW w:w="1951" w:type="dxa"/>
          </w:tcPr>
          <w:p w:rsidR="0099390A" w:rsidRPr="00D11A97" w:rsidRDefault="0099390A" w:rsidP="00AB0F97">
            <w:pPr>
              <w:spacing w:before="60" w:after="60"/>
              <w:rPr>
                <w:rFonts w:ascii="Century Gothic" w:hAnsi="Century Gothic" w:cs="Arial"/>
                <w:sz w:val="20"/>
                <w:szCs w:val="20"/>
              </w:rPr>
            </w:pPr>
            <w:r w:rsidRPr="00D11A97">
              <w:rPr>
                <w:rFonts w:ascii="Century Gothic" w:hAnsi="Century Gothic" w:cs="Arial"/>
                <w:b/>
                <w:sz w:val="20"/>
                <w:szCs w:val="20"/>
              </w:rPr>
              <w:lastRenderedPageBreak/>
              <w:t>Limited Data Set (LDS)</w:t>
            </w:r>
          </w:p>
        </w:tc>
        <w:tc>
          <w:tcPr>
            <w:tcW w:w="8237" w:type="dxa"/>
          </w:tcPr>
          <w:p w:rsidR="0099390A" w:rsidRPr="00D11A97" w:rsidRDefault="0099390A" w:rsidP="0099390A">
            <w:pPr>
              <w:spacing w:before="120" w:after="120"/>
              <w:rPr>
                <w:rFonts w:ascii="Century Gothic" w:hAnsi="Century Gothic" w:cs="Arial"/>
                <w:color w:val="000000"/>
                <w:sz w:val="20"/>
                <w:szCs w:val="20"/>
              </w:rPr>
            </w:pPr>
            <w:r w:rsidRPr="00D11A97">
              <w:rPr>
                <w:rFonts w:ascii="Century Gothic" w:hAnsi="Century Gothic" w:cs="Arial"/>
                <w:color w:val="000000"/>
                <w:sz w:val="20"/>
                <w:szCs w:val="20"/>
              </w:rPr>
              <w:t>A limited set of identifiable patient information, as defined under HIPAA, that may be disclosed to an outside party without a patient’s authorization if</w:t>
            </w:r>
            <w:r w:rsidR="00C36CFB" w:rsidRPr="00D11A97">
              <w:rPr>
                <w:rFonts w:ascii="Century Gothic" w:hAnsi="Century Gothic" w:cs="Arial"/>
                <w:color w:val="000000"/>
                <w:sz w:val="20"/>
                <w:szCs w:val="20"/>
              </w:rPr>
              <w:t>:</w:t>
            </w:r>
            <w:r w:rsidRPr="00D11A97">
              <w:rPr>
                <w:rFonts w:ascii="Century Gothic" w:hAnsi="Century Gothic" w:cs="Arial"/>
                <w:color w:val="000000"/>
                <w:sz w:val="20"/>
                <w:szCs w:val="20"/>
              </w:rPr>
              <w:t xml:space="preserve"> (a) the purpose of the disclosure is only for research, public health or health care operations; and (b) the data recipient signs a data use agreement. </w:t>
            </w:r>
          </w:p>
          <w:p w:rsidR="0099390A" w:rsidRPr="00D11A97" w:rsidRDefault="0099390A" w:rsidP="0099390A">
            <w:pPr>
              <w:spacing w:before="120" w:after="120"/>
              <w:rPr>
                <w:rFonts w:ascii="Century Gothic" w:hAnsi="Century Gothic" w:cs="Arial"/>
                <w:color w:val="000000"/>
                <w:sz w:val="20"/>
                <w:szCs w:val="20"/>
              </w:rPr>
            </w:pPr>
            <w:r w:rsidRPr="00D11A97">
              <w:rPr>
                <w:rFonts w:ascii="Century Gothic" w:hAnsi="Century Gothic" w:cs="Arial"/>
                <w:color w:val="000000"/>
                <w:sz w:val="20"/>
                <w:szCs w:val="20"/>
              </w:rPr>
              <w:t>Identifiers that must be removed in order for health information to be a LDS is defined as follows:</w:t>
            </w:r>
          </w:p>
          <w:p w:rsidR="0099390A" w:rsidRPr="00D11A97" w:rsidRDefault="0099390A" w:rsidP="0099390A">
            <w:pPr>
              <w:spacing w:before="60" w:after="60"/>
              <w:rPr>
                <w:rFonts w:ascii="Century Gothic" w:hAnsi="Century Gothic" w:cs="Arial"/>
                <w:sz w:val="20"/>
                <w:szCs w:val="20"/>
              </w:rPr>
            </w:pPr>
            <w:r w:rsidRPr="00D11A97">
              <w:rPr>
                <w:rFonts w:ascii="Century Gothic" w:hAnsi="Century Gothic" w:cs="Arial"/>
                <w:color w:val="000000"/>
                <w:sz w:val="20"/>
                <w:szCs w:val="20"/>
              </w:rPr>
              <w:t>Limited Data Set, as defined in the Privacy Rule at 45 CFR Section 164.514(e), is PHI that can include specific identifiers and must exclude others considered to be PHI. A Limited Data Set may include: 1) dates</w:t>
            </w:r>
            <w:r w:rsidR="001C6EC2" w:rsidRPr="00D11A97">
              <w:rPr>
                <w:rFonts w:ascii="Century Gothic" w:hAnsi="Century Gothic" w:cs="Arial"/>
                <w:color w:val="000000"/>
                <w:sz w:val="20"/>
                <w:szCs w:val="20"/>
              </w:rPr>
              <w:t xml:space="preserve"> </w:t>
            </w:r>
            <w:r w:rsidRPr="00D11A97">
              <w:rPr>
                <w:rFonts w:ascii="Century Gothic" w:hAnsi="Century Gothic" w:cs="Arial"/>
                <w:color w:val="000000"/>
                <w:sz w:val="20"/>
                <w:szCs w:val="20"/>
              </w:rPr>
              <w:t>(e.g., admission, discharge, and service dates, dates of birth and death); and 2) five-digit zip codes and state, county, city, and precinct, but not any other postal address information. A limited data set must exclude the following direct identifiers of an individual and his or her relatives, employer(s), and household members: name; postal address information (except town or city, state and zip code which are permitted); telephone numbers; fax numbers; electronic mail addresses; Social Security numbers; medical record numbers; health plan beneficiary numbers; account numbers; certificate/license numbers; license plate numbers and other vehicle identifiers and serial numbers; device identifiers and serial numbers; URLs; Internet Protocol (IP) address numbers; biometric identifiers including finger and voice prints; and full-face photographic and any comparable images. In the event of any conflict between this description and the definition in the Standards for Privacy of Individually Identifiable Health Information (45 CFR, Parts 160 and 164, Subparts A and E) (“the Privacy Rule”), the Privacy Rule definition will govern.</w:t>
            </w:r>
          </w:p>
        </w:tc>
      </w:tr>
      <w:tr w:rsidR="0099390A" w:rsidRPr="00D11A97" w:rsidTr="00AB0F97">
        <w:tc>
          <w:tcPr>
            <w:tcW w:w="1951" w:type="dxa"/>
          </w:tcPr>
          <w:p w:rsidR="0099390A" w:rsidRPr="00D11A97" w:rsidRDefault="0099390A" w:rsidP="00AB0F97">
            <w:pPr>
              <w:spacing w:before="60" w:after="60"/>
              <w:rPr>
                <w:rFonts w:ascii="Century Gothic" w:hAnsi="Century Gothic" w:cs="Arial"/>
                <w:sz w:val="20"/>
                <w:szCs w:val="20"/>
              </w:rPr>
            </w:pPr>
            <w:r w:rsidRPr="00D11A97">
              <w:rPr>
                <w:rFonts w:ascii="Century Gothic" w:hAnsi="Century Gothic" w:cs="Arial"/>
                <w:b/>
                <w:sz w:val="20"/>
                <w:szCs w:val="20"/>
              </w:rPr>
              <w:t>Primary Data Analysis</w:t>
            </w:r>
          </w:p>
        </w:tc>
        <w:tc>
          <w:tcPr>
            <w:tcW w:w="8237" w:type="dxa"/>
          </w:tcPr>
          <w:p w:rsidR="0099390A" w:rsidRPr="00D11A97" w:rsidRDefault="0099390A" w:rsidP="00C95E5A">
            <w:pPr>
              <w:spacing w:before="60" w:after="60"/>
              <w:rPr>
                <w:rFonts w:ascii="Century Gothic" w:hAnsi="Century Gothic" w:cs="Arial"/>
                <w:sz w:val="20"/>
                <w:szCs w:val="20"/>
              </w:rPr>
            </w:pPr>
            <w:r w:rsidRPr="00D11A97">
              <w:rPr>
                <w:rFonts w:ascii="Century Gothic" w:hAnsi="Century Gothic" w:cs="Arial"/>
                <w:color w:val="000000"/>
                <w:sz w:val="20"/>
                <w:szCs w:val="20"/>
              </w:rPr>
              <w:t>Analysis of a research data set created specifically for the given research project. The primary analysis supports the original, stated aims of the research project, in support of developing the main outcome paper</w:t>
            </w:r>
            <w:r w:rsidR="00DA6B34" w:rsidRPr="00D11A97">
              <w:rPr>
                <w:rFonts w:ascii="Century Gothic" w:hAnsi="Century Gothic" w:cs="Arial"/>
                <w:color w:val="000000"/>
                <w:sz w:val="20"/>
                <w:szCs w:val="20"/>
              </w:rPr>
              <w:t>(s)</w:t>
            </w:r>
            <w:r w:rsidRPr="00D11A97">
              <w:rPr>
                <w:rFonts w:ascii="Century Gothic" w:hAnsi="Century Gothic" w:cs="Arial"/>
                <w:color w:val="000000"/>
                <w:sz w:val="20"/>
                <w:szCs w:val="20"/>
              </w:rPr>
              <w:t xml:space="preserve"> for the project.</w:t>
            </w:r>
          </w:p>
        </w:tc>
      </w:tr>
      <w:tr w:rsidR="0099390A" w:rsidRPr="00D11A97" w:rsidTr="00AB0F97">
        <w:tc>
          <w:tcPr>
            <w:tcW w:w="1951" w:type="dxa"/>
          </w:tcPr>
          <w:p w:rsidR="0099390A" w:rsidRPr="00D11A97" w:rsidRDefault="0099390A" w:rsidP="00AB0F97">
            <w:pPr>
              <w:spacing w:before="60" w:after="60"/>
              <w:rPr>
                <w:rFonts w:ascii="Century Gothic" w:hAnsi="Century Gothic" w:cs="Arial"/>
                <w:sz w:val="20"/>
                <w:szCs w:val="20"/>
              </w:rPr>
            </w:pPr>
            <w:r w:rsidRPr="00D11A97">
              <w:rPr>
                <w:rFonts w:ascii="Century Gothic" w:hAnsi="Century Gothic" w:cs="Arial"/>
                <w:b/>
                <w:sz w:val="20"/>
                <w:szCs w:val="20"/>
              </w:rPr>
              <w:t>Protected Health Information (PHI)</w:t>
            </w:r>
          </w:p>
        </w:tc>
        <w:tc>
          <w:tcPr>
            <w:tcW w:w="8237" w:type="dxa"/>
          </w:tcPr>
          <w:p w:rsidR="0099390A" w:rsidRPr="00D11A97" w:rsidRDefault="0099390A" w:rsidP="00DA6B34">
            <w:pPr>
              <w:spacing w:before="60" w:after="60"/>
              <w:rPr>
                <w:rFonts w:ascii="Century Gothic" w:hAnsi="Century Gothic" w:cs="Arial"/>
                <w:sz w:val="20"/>
                <w:szCs w:val="20"/>
              </w:rPr>
            </w:pPr>
            <w:r w:rsidRPr="00D11A97">
              <w:rPr>
                <w:rFonts w:ascii="Century Gothic" w:hAnsi="Century Gothic" w:cs="Arial"/>
                <w:sz w:val="20"/>
                <w:szCs w:val="20"/>
              </w:rPr>
              <w:t>Any information about health status, provision of health care, or payment for health care that can be linked to a specific individual.</w:t>
            </w:r>
          </w:p>
        </w:tc>
      </w:tr>
      <w:tr w:rsidR="0099390A" w:rsidRPr="00D11A97" w:rsidTr="008D5D63">
        <w:trPr>
          <w:trHeight w:val="1655"/>
        </w:trPr>
        <w:tc>
          <w:tcPr>
            <w:tcW w:w="1951" w:type="dxa"/>
          </w:tcPr>
          <w:p w:rsidR="0099390A" w:rsidRPr="00D11A97" w:rsidRDefault="0099390A" w:rsidP="00AB0F97">
            <w:pPr>
              <w:spacing w:before="60" w:after="60"/>
              <w:rPr>
                <w:rFonts w:ascii="Century Gothic" w:hAnsi="Century Gothic" w:cs="Arial"/>
                <w:sz w:val="20"/>
                <w:szCs w:val="20"/>
              </w:rPr>
            </w:pPr>
            <w:r w:rsidRPr="00D11A97">
              <w:rPr>
                <w:rFonts w:ascii="Century Gothic" w:hAnsi="Century Gothic" w:cs="Arial"/>
                <w:b/>
                <w:sz w:val="20"/>
                <w:szCs w:val="20"/>
              </w:rPr>
              <w:t>Research Data</w:t>
            </w:r>
          </w:p>
        </w:tc>
        <w:tc>
          <w:tcPr>
            <w:tcW w:w="8237" w:type="dxa"/>
          </w:tcPr>
          <w:p w:rsidR="0099390A" w:rsidRPr="00D11A97" w:rsidRDefault="0099390A" w:rsidP="004652EC">
            <w:pPr>
              <w:spacing w:before="120" w:after="120"/>
              <w:rPr>
                <w:rFonts w:ascii="Century Gothic" w:hAnsi="Century Gothic" w:cs="Arial"/>
                <w:sz w:val="20"/>
                <w:szCs w:val="20"/>
              </w:rPr>
            </w:pPr>
            <w:r w:rsidRPr="00D11A97">
              <w:rPr>
                <w:rFonts w:ascii="Century Gothic" w:hAnsi="Century Gothic" w:cs="Arial"/>
                <w:sz w:val="20"/>
                <w:szCs w:val="20"/>
              </w:rPr>
              <w:t xml:space="preserve">Information that is generated, collected, and/or reported for the purpose of research according to standard research rules.  </w:t>
            </w:r>
          </w:p>
          <w:p w:rsidR="0099390A" w:rsidRPr="00D11A97" w:rsidRDefault="0099390A" w:rsidP="004652EC">
            <w:pPr>
              <w:spacing w:before="120" w:after="120"/>
              <w:rPr>
                <w:rFonts w:ascii="Century Gothic" w:hAnsi="Century Gothic" w:cs="Arial"/>
                <w:sz w:val="20"/>
                <w:szCs w:val="20"/>
              </w:rPr>
            </w:pPr>
            <w:r w:rsidRPr="00D11A97">
              <w:rPr>
                <w:rFonts w:ascii="Century Gothic" w:hAnsi="Century Gothic"/>
                <w:sz w:val="20"/>
                <w:szCs w:val="20"/>
              </w:rPr>
              <w:t xml:space="preserve">Research data may be identifiable, anonymized, de-identified or aggregate format, provided by or on behalf of the covered entity from its patients’ or members’ medical records and other information, including but not limited to </w:t>
            </w:r>
            <w:r w:rsidRPr="00D11A97">
              <w:rPr>
                <w:rFonts w:ascii="Century Gothic" w:hAnsi="Century Gothic" w:cs="Arial"/>
                <w:sz w:val="20"/>
                <w:szCs w:val="20"/>
              </w:rPr>
              <w:t xml:space="preserve">health care delivery practices, utilization data, pharmacy data, membership or other clinical or health plan information.  </w:t>
            </w:r>
          </w:p>
        </w:tc>
      </w:tr>
      <w:tr w:rsidR="0099390A" w:rsidRPr="00D11A97" w:rsidTr="00AB0F97">
        <w:tc>
          <w:tcPr>
            <w:tcW w:w="1951" w:type="dxa"/>
          </w:tcPr>
          <w:p w:rsidR="0099390A" w:rsidRPr="00D11A97" w:rsidRDefault="0099390A" w:rsidP="00AB0F97">
            <w:pPr>
              <w:spacing w:before="60" w:after="60"/>
              <w:rPr>
                <w:rFonts w:ascii="Century Gothic" w:hAnsi="Century Gothic" w:cs="Arial"/>
                <w:b/>
                <w:sz w:val="20"/>
                <w:szCs w:val="20"/>
              </w:rPr>
            </w:pPr>
            <w:r w:rsidRPr="00D11A97">
              <w:rPr>
                <w:rFonts w:ascii="Century Gothic" w:hAnsi="Century Gothic" w:cs="Arial"/>
                <w:b/>
                <w:sz w:val="20"/>
                <w:szCs w:val="20"/>
              </w:rPr>
              <w:lastRenderedPageBreak/>
              <w:t>Secondary Data Analysis / Secondary Data Use</w:t>
            </w:r>
          </w:p>
        </w:tc>
        <w:tc>
          <w:tcPr>
            <w:tcW w:w="8237" w:type="dxa"/>
          </w:tcPr>
          <w:p w:rsidR="0099390A" w:rsidRPr="00D11A97" w:rsidRDefault="0099390A" w:rsidP="00FB21D4">
            <w:pPr>
              <w:spacing w:before="60" w:after="60"/>
              <w:rPr>
                <w:rFonts w:ascii="Century Gothic" w:hAnsi="Century Gothic" w:cs="Arial"/>
                <w:sz w:val="20"/>
                <w:szCs w:val="20"/>
              </w:rPr>
            </w:pPr>
            <w:r w:rsidRPr="00D11A97">
              <w:rPr>
                <w:rFonts w:ascii="Century Gothic" w:hAnsi="Century Gothic" w:cs="Arial"/>
                <w:color w:val="000000"/>
                <w:sz w:val="20"/>
                <w:szCs w:val="20"/>
              </w:rPr>
              <w:t>A reanalysis of data using the same or other appropriate procedures to verify the accuracy of the results of the initial analysis</w:t>
            </w:r>
            <w:r w:rsidR="00A33291" w:rsidRPr="00D11A97">
              <w:rPr>
                <w:rFonts w:ascii="Century Gothic" w:hAnsi="Century Gothic" w:cs="Arial"/>
                <w:color w:val="000000"/>
                <w:sz w:val="20"/>
                <w:szCs w:val="20"/>
              </w:rPr>
              <w:t>,</w:t>
            </w:r>
            <w:r w:rsidRPr="00D11A97">
              <w:rPr>
                <w:rFonts w:ascii="Century Gothic" w:hAnsi="Century Gothic" w:cs="Arial"/>
                <w:color w:val="000000"/>
                <w:sz w:val="20"/>
                <w:szCs w:val="20"/>
              </w:rPr>
              <w:t xml:space="preserve"> or for answering different questions</w:t>
            </w:r>
            <w:r w:rsidR="00A33291" w:rsidRPr="00D11A97">
              <w:rPr>
                <w:rFonts w:ascii="Century Gothic" w:hAnsi="Century Gothic" w:cs="Arial"/>
                <w:color w:val="000000"/>
                <w:sz w:val="20"/>
                <w:szCs w:val="20"/>
              </w:rPr>
              <w:t xml:space="preserve"> in a subsequent and separate study</w:t>
            </w:r>
            <w:r w:rsidRPr="00D11A97">
              <w:rPr>
                <w:rFonts w:ascii="Century Gothic" w:hAnsi="Century Gothic" w:cs="Arial"/>
                <w:color w:val="000000"/>
                <w:sz w:val="20"/>
                <w:szCs w:val="20"/>
              </w:rPr>
              <w:t>.</w:t>
            </w:r>
          </w:p>
        </w:tc>
      </w:tr>
      <w:tr w:rsidR="0099390A" w:rsidRPr="00D11A97" w:rsidTr="008D5D63">
        <w:trPr>
          <w:trHeight w:val="647"/>
        </w:trPr>
        <w:tc>
          <w:tcPr>
            <w:tcW w:w="1951" w:type="dxa"/>
          </w:tcPr>
          <w:p w:rsidR="0099390A" w:rsidRPr="00D11A97" w:rsidRDefault="0099390A" w:rsidP="0099390A">
            <w:pPr>
              <w:spacing w:before="120" w:after="120"/>
              <w:rPr>
                <w:rFonts w:ascii="Century Gothic" w:hAnsi="Century Gothic" w:cs="Arial"/>
                <w:b/>
                <w:sz w:val="20"/>
                <w:szCs w:val="20"/>
              </w:rPr>
            </w:pPr>
            <w:r w:rsidRPr="00D11A97">
              <w:rPr>
                <w:rFonts w:ascii="Century Gothic" w:hAnsi="Century Gothic" w:cs="Arial"/>
                <w:b/>
                <w:sz w:val="20"/>
                <w:szCs w:val="20"/>
              </w:rPr>
              <w:t>Study Period</w:t>
            </w:r>
          </w:p>
          <w:p w:rsidR="0099390A" w:rsidRPr="00D11A97" w:rsidRDefault="0099390A" w:rsidP="00AB0F97">
            <w:pPr>
              <w:spacing w:before="60" w:after="60"/>
              <w:rPr>
                <w:rFonts w:ascii="Century Gothic" w:hAnsi="Century Gothic" w:cs="Arial"/>
                <w:b/>
                <w:sz w:val="20"/>
                <w:szCs w:val="20"/>
              </w:rPr>
            </w:pPr>
          </w:p>
        </w:tc>
        <w:tc>
          <w:tcPr>
            <w:tcW w:w="8237" w:type="dxa"/>
          </w:tcPr>
          <w:p w:rsidR="0099390A" w:rsidRPr="00D11A97" w:rsidRDefault="0099390A" w:rsidP="00FB21D4">
            <w:pPr>
              <w:spacing w:before="60" w:after="60"/>
              <w:rPr>
                <w:rFonts w:ascii="Century Gothic" w:hAnsi="Century Gothic" w:cs="Arial"/>
                <w:sz w:val="20"/>
                <w:szCs w:val="20"/>
              </w:rPr>
            </w:pPr>
            <w:r w:rsidRPr="00D11A97">
              <w:rPr>
                <w:rFonts w:ascii="Century Gothic" w:hAnsi="Century Gothic" w:cs="Arial"/>
                <w:sz w:val="20"/>
                <w:szCs w:val="20"/>
              </w:rPr>
              <w:t>The timeframe in which activities relating to a discreet research project occur. The study period ends when the main outcomes paper is accepted for publication.</w:t>
            </w:r>
          </w:p>
        </w:tc>
      </w:tr>
    </w:tbl>
    <w:p w:rsidR="0029339F" w:rsidRPr="00D11A97" w:rsidRDefault="00144EEB" w:rsidP="0029339F">
      <w:pPr>
        <w:spacing w:before="240" w:after="120"/>
        <w:rPr>
          <w:rFonts w:ascii="Century Gothic" w:hAnsi="Century Gothic" w:cs="Arial"/>
          <w:b/>
          <w:sz w:val="20"/>
          <w:szCs w:val="20"/>
        </w:rPr>
      </w:pPr>
      <w:r w:rsidRPr="00D11A97">
        <w:rPr>
          <w:rFonts w:ascii="Century Gothic" w:hAnsi="Century Gothic" w:cs="Arial"/>
          <w:b/>
          <w:sz w:val="20"/>
          <w:szCs w:val="20"/>
        </w:rPr>
        <w:t xml:space="preserve">Potential </w:t>
      </w:r>
      <w:r w:rsidR="00A71588" w:rsidRPr="00D11A97">
        <w:rPr>
          <w:rFonts w:ascii="Century Gothic" w:hAnsi="Century Gothic" w:cs="Arial"/>
          <w:b/>
          <w:sz w:val="20"/>
          <w:szCs w:val="20"/>
        </w:rPr>
        <w:t>Policy Content Areas</w:t>
      </w:r>
    </w:p>
    <w:p w:rsidR="009B446C" w:rsidRPr="00D11A97" w:rsidRDefault="00073610" w:rsidP="00AA3B5B">
      <w:pPr>
        <w:spacing w:before="240" w:after="120"/>
        <w:rPr>
          <w:rFonts w:ascii="Century Gothic" w:hAnsi="Century Gothic" w:cs="Arial"/>
          <w:sz w:val="20"/>
          <w:szCs w:val="20"/>
        </w:rPr>
      </w:pPr>
      <w:r w:rsidRPr="00D11A97">
        <w:rPr>
          <w:rFonts w:ascii="Century Gothic" w:hAnsi="Century Gothic" w:cs="Arial"/>
          <w:sz w:val="20"/>
          <w:szCs w:val="20"/>
        </w:rPr>
        <w:t xml:space="preserve">Most existing </w:t>
      </w:r>
      <w:r w:rsidR="007F3064" w:rsidRPr="00D11A97">
        <w:rPr>
          <w:rFonts w:ascii="Century Gothic" w:hAnsi="Century Gothic" w:cs="Arial"/>
          <w:sz w:val="20"/>
          <w:szCs w:val="20"/>
        </w:rPr>
        <w:t>data sharing</w:t>
      </w:r>
      <w:r w:rsidRPr="00D11A97">
        <w:rPr>
          <w:rFonts w:ascii="Century Gothic" w:hAnsi="Century Gothic" w:cs="Arial"/>
          <w:sz w:val="20"/>
          <w:szCs w:val="20"/>
        </w:rPr>
        <w:t xml:space="preserve"> policy and guidance documents for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studies contain the elements below, though the degree of policy detail varies based on the nature, complexity and needs of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237"/>
      </w:tblGrid>
      <w:tr w:rsidR="00073610" w:rsidRPr="00D11A97" w:rsidTr="00F65C93">
        <w:trPr>
          <w:cantSplit/>
          <w:tblHeader/>
        </w:trPr>
        <w:tc>
          <w:tcPr>
            <w:tcW w:w="1951" w:type="dxa"/>
            <w:shd w:val="clear" w:color="auto" w:fill="FDE9D9" w:themeFill="accent6" w:themeFillTint="33"/>
          </w:tcPr>
          <w:p w:rsidR="00073610" w:rsidRPr="00D11A97" w:rsidRDefault="00073610" w:rsidP="00F259EC">
            <w:pPr>
              <w:spacing w:before="120" w:after="120"/>
              <w:rPr>
                <w:rFonts w:ascii="Century Gothic" w:hAnsi="Century Gothic" w:cs="Arial"/>
                <w:b/>
                <w:sz w:val="20"/>
                <w:szCs w:val="20"/>
              </w:rPr>
            </w:pPr>
            <w:r w:rsidRPr="00D11A97">
              <w:rPr>
                <w:rFonts w:ascii="Century Gothic" w:hAnsi="Century Gothic" w:cs="Arial"/>
                <w:b/>
                <w:sz w:val="20"/>
                <w:szCs w:val="20"/>
              </w:rPr>
              <w:t>Element</w:t>
            </w:r>
          </w:p>
        </w:tc>
        <w:tc>
          <w:tcPr>
            <w:tcW w:w="8237" w:type="dxa"/>
            <w:shd w:val="clear" w:color="auto" w:fill="FDE9D9" w:themeFill="accent6" w:themeFillTint="33"/>
          </w:tcPr>
          <w:p w:rsidR="00073610" w:rsidRPr="00D11A97" w:rsidRDefault="00073610" w:rsidP="00F259EC">
            <w:pPr>
              <w:spacing w:before="120" w:after="120"/>
              <w:rPr>
                <w:rFonts w:ascii="Century Gothic" w:hAnsi="Century Gothic" w:cs="Arial"/>
                <w:b/>
                <w:sz w:val="20"/>
                <w:szCs w:val="20"/>
              </w:rPr>
            </w:pPr>
            <w:r w:rsidRPr="00D11A97">
              <w:rPr>
                <w:rFonts w:ascii="Century Gothic" w:hAnsi="Century Gothic" w:cs="Arial"/>
                <w:b/>
                <w:sz w:val="20"/>
                <w:szCs w:val="20"/>
              </w:rPr>
              <w:t>Considerations</w:t>
            </w:r>
            <w:r w:rsidR="009B446C" w:rsidRPr="00D11A97">
              <w:rPr>
                <w:rFonts w:ascii="Century Gothic" w:hAnsi="Century Gothic" w:cs="Arial"/>
                <w:b/>
                <w:sz w:val="20"/>
                <w:szCs w:val="20"/>
              </w:rPr>
              <w:t xml:space="preserve"> &amp; Contextual Details </w:t>
            </w:r>
          </w:p>
        </w:tc>
      </w:tr>
      <w:tr w:rsidR="00DB759A" w:rsidRPr="00D11A97" w:rsidTr="0064595E">
        <w:tc>
          <w:tcPr>
            <w:tcW w:w="1951" w:type="dxa"/>
          </w:tcPr>
          <w:p w:rsidR="00DB759A" w:rsidRPr="00D11A97" w:rsidRDefault="007F3064" w:rsidP="007F3064">
            <w:pPr>
              <w:spacing w:before="60" w:after="60"/>
              <w:rPr>
                <w:rFonts w:ascii="Century Gothic" w:hAnsi="Century Gothic" w:cs="Arial"/>
                <w:sz w:val="20"/>
                <w:szCs w:val="20"/>
              </w:rPr>
            </w:pPr>
            <w:r w:rsidRPr="00D11A97">
              <w:rPr>
                <w:rFonts w:ascii="Century Gothic" w:hAnsi="Century Gothic" w:cs="Arial"/>
                <w:sz w:val="20"/>
                <w:szCs w:val="20"/>
              </w:rPr>
              <w:t>Data consolidation procedures for analyses</w:t>
            </w:r>
          </w:p>
        </w:tc>
        <w:tc>
          <w:tcPr>
            <w:tcW w:w="8237" w:type="dxa"/>
          </w:tcPr>
          <w:p w:rsidR="00DB759A" w:rsidRPr="00D11A97" w:rsidRDefault="007F3064" w:rsidP="00271782">
            <w:pPr>
              <w:numPr>
                <w:ilvl w:val="0"/>
                <w:numId w:val="9"/>
              </w:numPr>
              <w:tabs>
                <w:tab w:val="clear" w:pos="1440"/>
                <w:tab w:val="num" w:pos="252"/>
              </w:tabs>
              <w:spacing w:before="60" w:after="60"/>
              <w:ind w:left="252" w:hanging="252"/>
              <w:rPr>
                <w:rFonts w:ascii="Century Gothic" w:hAnsi="Century Gothic" w:cs="Arial"/>
                <w:sz w:val="20"/>
                <w:szCs w:val="20"/>
              </w:rPr>
            </w:pPr>
            <w:r w:rsidRPr="00D11A97">
              <w:rPr>
                <w:rFonts w:ascii="Century Gothic" w:hAnsi="Century Gothic" w:cs="Arial"/>
                <w:sz w:val="20"/>
                <w:szCs w:val="20"/>
              </w:rPr>
              <w:t xml:space="preserve"> In multi-site studies, for either decentralized or pooled datasets, it is important to consider issues of ownership, duration of possession, adequate funding support for the model chosen, and freedom of sites to contribute or not to</w:t>
            </w:r>
            <w:r w:rsidR="00DA6B34" w:rsidRPr="00D11A97">
              <w:rPr>
                <w:rFonts w:ascii="Century Gothic" w:hAnsi="Century Gothic" w:cs="Arial"/>
                <w:sz w:val="20"/>
                <w:szCs w:val="20"/>
              </w:rPr>
              <w:t xml:space="preserve"> primary or</w:t>
            </w:r>
            <w:r w:rsidRPr="00D11A97">
              <w:rPr>
                <w:rFonts w:ascii="Century Gothic" w:hAnsi="Century Gothic" w:cs="Arial"/>
                <w:sz w:val="20"/>
                <w:szCs w:val="20"/>
              </w:rPr>
              <w:t xml:space="preserve"> secondary analyses.</w:t>
            </w:r>
          </w:p>
        </w:tc>
      </w:tr>
      <w:tr w:rsidR="00552266" w:rsidRPr="00D11A97" w:rsidTr="00327EEA">
        <w:tc>
          <w:tcPr>
            <w:tcW w:w="1951" w:type="dxa"/>
          </w:tcPr>
          <w:p w:rsidR="00552266" w:rsidRPr="00D11A97" w:rsidRDefault="00552266" w:rsidP="00327EEA">
            <w:pPr>
              <w:spacing w:before="60" w:after="60"/>
              <w:rPr>
                <w:rFonts w:ascii="Century Gothic" w:hAnsi="Century Gothic" w:cs="Arial"/>
                <w:sz w:val="20"/>
                <w:szCs w:val="20"/>
              </w:rPr>
            </w:pPr>
            <w:r w:rsidRPr="00D11A97">
              <w:rPr>
                <w:rFonts w:ascii="Century Gothic" w:hAnsi="Century Gothic" w:cs="Arial"/>
                <w:sz w:val="20"/>
                <w:szCs w:val="20"/>
              </w:rPr>
              <w:t>Guidance and considerations relating to site participation</w:t>
            </w:r>
          </w:p>
        </w:tc>
        <w:tc>
          <w:tcPr>
            <w:tcW w:w="8237" w:type="dxa"/>
          </w:tcPr>
          <w:p w:rsidR="007F3064" w:rsidRPr="00D11A97" w:rsidRDefault="007F3064" w:rsidP="007F3064">
            <w:pPr>
              <w:numPr>
                <w:ilvl w:val="0"/>
                <w:numId w:val="9"/>
              </w:numPr>
              <w:tabs>
                <w:tab w:val="clear" w:pos="1440"/>
                <w:tab w:val="num" w:pos="252"/>
              </w:tabs>
              <w:spacing w:before="60" w:after="60"/>
              <w:ind w:left="252" w:hanging="252"/>
              <w:rPr>
                <w:rFonts w:ascii="Century Gothic" w:hAnsi="Century Gothic" w:cs="Arial"/>
                <w:sz w:val="20"/>
                <w:szCs w:val="20"/>
              </w:rPr>
            </w:pPr>
            <w:r w:rsidRPr="00D11A97">
              <w:rPr>
                <w:rFonts w:ascii="Century Gothic" w:hAnsi="Century Gothic" w:cs="Arial"/>
                <w:sz w:val="20"/>
                <w:szCs w:val="20"/>
              </w:rPr>
              <w:t xml:space="preserve">Policies addressed whether or not PIs and sites who would contribute data could be from outside the consortium (or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w:t>
            </w:r>
          </w:p>
          <w:p w:rsidR="007F3064" w:rsidRPr="00D11A97" w:rsidRDefault="007F3064" w:rsidP="007F3064">
            <w:pPr>
              <w:numPr>
                <w:ilvl w:val="0"/>
                <w:numId w:val="9"/>
              </w:numPr>
              <w:tabs>
                <w:tab w:val="clear" w:pos="1440"/>
                <w:tab w:val="num" w:pos="252"/>
              </w:tabs>
              <w:spacing w:before="60" w:after="60"/>
              <w:ind w:left="252" w:hanging="252"/>
              <w:rPr>
                <w:rFonts w:ascii="Century Gothic" w:hAnsi="Century Gothic" w:cs="Arial"/>
                <w:sz w:val="20"/>
                <w:szCs w:val="20"/>
              </w:rPr>
            </w:pPr>
            <w:r w:rsidRPr="00D11A97">
              <w:rPr>
                <w:rFonts w:ascii="Century Gothic" w:hAnsi="Century Gothic" w:cs="Arial"/>
                <w:sz w:val="20"/>
                <w:szCs w:val="20"/>
              </w:rPr>
              <w:t xml:space="preserve">Practical considerations were often included as general guidance (e.g., budget caps, staff availability, etc.). </w:t>
            </w:r>
          </w:p>
          <w:p w:rsidR="00DF6508" w:rsidRPr="00D11A97" w:rsidRDefault="007F3064" w:rsidP="00DF6508">
            <w:pPr>
              <w:numPr>
                <w:ilvl w:val="0"/>
                <w:numId w:val="9"/>
              </w:numPr>
              <w:tabs>
                <w:tab w:val="clear" w:pos="1440"/>
                <w:tab w:val="num" w:pos="252"/>
              </w:tabs>
              <w:spacing w:before="60" w:after="60"/>
              <w:ind w:left="252" w:hanging="252"/>
              <w:rPr>
                <w:rFonts w:ascii="Century Gothic" w:hAnsi="Century Gothic" w:cs="Arial"/>
                <w:sz w:val="20"/>
                <w:szCs w:val="20"/>
              </w:rPr>
            </w:pPr>
            <w:r w:rsidRPr="00D11A97">
              <w:rPr>
                <w:rFonts w:ascii="Century Gothic" w:hAnsi="Century Gothic" w:cs="Arial"/>
                <w:sz w:val="20"/>
                <w:szCs w:val="20"/>
              </w:rPr>
              <w:t xml:space="preserve">Though final decision making and analytic authority resides with the project PI, consortium leaders may be available to </w:t>
            </w:r>
            <w:proofErr w:type="gramStart"/>
            <w:r w:rsidRPr="00D11A97">
              <w:rPr>
                <w:rFonts w:ascii="Century Gothic" w:hAnsi="Century Gothic" w:cs="Arial"/>
                <w:sz w:val="20"/>
                <w:szCs w:val="20"/>
              </w:rPr>
              <w:t>advise</w:t>
            </w:r>
            <w:proofErr w:type="gramEnd"/>
            <w:r w:rsidRPr="00D11A97">
              <w:rPr>
                <w:rFonts w:ascii="Century Gothic" w:hAnsi="Century Gothic" w:cs="Arial"/>
                <w:sz w:val="20"/>
                <w:szCs w:val="20"/>
              </w:rPr>
              <w:t xml:space="preserve"> on the most appropriate sites to include on a specific proposal, and the appropriate data sharing approach.</w:t>
            </w:r>
          </w:p>
        </w:tc>
      </w:tr>
      <w:tr w:rsidR="00073610" w:rsidRPr="00D11A97" w:rsidTr="00DC19C8">
        <w:tc>
          <w:tcPr>
            <w:tcW w:w="1951" w:type="dxa"/>
          </w:tcPr>
          <w:p w:rsidR="00073610" w:rsidRPr="00D11A97" w:rsidRDefault="007F3064" w:rsidP="007F3064">
            <w:pPr>
              <w:spacing w:before="60" w:after="60"/>
              <w:rPr>
                <w:rFonts w:ascii="Century Gothic" w:hAnsi="Century Gothic" w:cs="Arial"/>
                <w:sz w:val="20"/>
                <w:szCs w:val="20"/>
              </w:rPr>
            </w:pPr>
            <w:r w:rsidRPr="00D11A97">
              <w:rPr>
                <w:rFonts w:ascii="Century Gothic" w:hAnsi="Century Gothic" w:cs="Arial"/>
                <w:sz w:val="20"/>
                <w:szCs w:val="20"/>
              </w:rPr>
              <w:t>Longevity of study datasets</w:t>
            </w:r>
          </w:p>
        </w:tc>
        <w:tc>
          <w:tcPr>
            <w:tcW w:w="8237" w:type="dxa"/>
          </w:tcPr>
          <w:p w:rsidR="00DF6508" w:rsidRPr="00D11A97" w:rsidRDefault="007F3064" w:rsidP="004900C6">
            <w:pPr>
              <w:numPr>
                <w:ilvl w:val="0"/>
                <w:numId w:val="9"/>
              </w:numPr>
              <w:tabs>
                <w:tab w:val="clear" w:pos="1440"/>
                <w:tab w:val="num" w:pos="252"/>
              </w:tabs>
              <w:spacing w:before="60" w:after="60"/>
              <w:ind w:left="252" w:hanging="252"/>
              <w:rPr>
                <w:rFonts w:ascii="Century Gothic" w:hAnsi="Century Gothic" w:cs="Arial"/>
                <w:sz w:val="20"/>
                <w:szCs w:val="20"/>
              </w:rPr>
            </w:pPr>
            <w:r w:rsidRPr="00D11A97">
              <w:rPr>
                <w:rFonts w:ascii="Century Gothic" w:hAnsi="Century Gothic" w:cs="Arial"/>
                <w:sz w:val="20"/>
                <w:szCs w:val="20"/>
              </w:rPr>
              <w:t xml:space="preserve">Issues to be addressed include use of dataset after funding has ended for the study, prime site IRB approval of </w:t>
            </w:r>
            <w:r w:rsidR="00C36CFB" w:rsidRPr="00D11A97">
              <w:rPr>
                <w:rFonts w:ascii="Century Gothic" w:hAnsi="Century Gothic" w:cs="Arial"/>
                <w:sz w:val="20"/>
                <w:szCs w:val="20"/>
              </w:rPr>
              <w:t xml:space="preserve">novel </w:t>
            </w:r>
            <w:r w:rsidRPr="00D11A97">
              <w:rPr>
                <w:rFonts w:ascii="Century Gothic" w:hAnsi="Century Gothic" w:cs="Arial"/>
                <w:sz w:val="20"/>
                <w:szCs w:val="20"/>
              </w:rPr>
              <w:t>use of dataset at sub-sites with ceding, use of project-specific datasets in subsequent studies on a site-level basis</w:t>
            </w:r>
            <w:r w:rsidR="00C7435A" w:rsidRPr="00D11A97">
              <w:rPr>
                <w:rFonts w:ascii="Century Gothic" w:hAnsi="Century Gothic" w:cs="Arial"/>
                <w:sz w:val="20"/>
                <w:szCs w:val="20"/>
              </w:rPr>
              <w:t>, and data destruction or return of data</w:t>
            </w:r>
            <w:r w:rsidRPr="00D11A97">
              <w:rPr>
                <w:rFonts w:ascii="Century Gothic" w:hAnsi="Century Gothic" w:cs="Arial"/>
                <w:sz w:val="20"/>
                <w:szCs w:val="20"/>
              </w:rPr>
              <w:t>.</w:t>
            </w:r>
          </w:p>
        </w:tc>
      </w:tr>
    </w:tbl>
    <w:p w:rsidR="0029339F" w:rsidRPr="00D11A97" w:rsidRDefault="0029339F" w:rsidP="00EB27D0">
      <w:pPr>
        <w:spacing w:before="240" w:after="120"/>
        <w:rPr>
          <w:rFonts w:ascii="Century Gothic" w:hAnsi="Century Gothic" w:cs="Arial"/>
          <w:b/>
          <w:sz w:val="20"/>
          <w:szCs w:val="20"/>
        </w:rPr>
      </w:pPr>
      <w:bookmarkStart w:id="2" w:name="Best_Practices"/>
      <w:bookmarkEnd w:id="2"/>
      <w:r w:rsidRPr="00D11A97">
        <w:rPr>
          <w:rFonts w:ascii="Century Gothic" w:hAnsi="Century Gothic" w:cs="Arial"/>
          <w:b/>
          <w:sz w:val="20"/>
          <w:szCs w:val="20"/>
        </w:rPr>
        <w:t>Identified Best Practices</w:t>
      </w:r>
    </w:p>
    <w:p w:rsidR="00FE2BA0" w:rsidRPr="00D11A97" w:rsidRDefault="00FE2BA0" w:rsidP="00A46AFC">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Project teams are encouraged to discuss data-sharing issues and approaches during proposal development and plan proactively.</w:t>
      </w:r>
    </w:p>
    <w:p w:rsidR="00A46AFC" w:rsidRPr="00D11A97" w:rsidRDefault="00A46AFC" w:rsidP="00A46AFC">
      <w:pPr>
        <w:pStyle w:val="ListParagraph"/>
        <w:spacing w:after="120"/>
        <w:rPr>
          <w:rFonts w:ascii="Century Gothic" w:hAnsi="Century Gothic" w:cs="Arial"/>
          <w:sz w:val="20"/>
          <w:szCs w:val="20"/>
        </w:rPr>
      </w:pPr>
    </w:p>
    <w:p w:rsidR="00FE2BA0" w:rsidRPr="00D11A97" w:rsidRDefault="00FE2BA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In the proposal development phase, project teams are encouraged to develop data-sharing plans consistent with the expectations among the members of the multi-site project team. Specifically, project teams need to agree what data will leave the providing sites, when</w:t>
      </w:r>
      <w:r w:rsidR="00DC0599" w:rsidRPr="00D11A97">
        <w:rPr>
          <w:rFonts w:ascii="Century Gothic" w:hAnsi="Century Gothic" w:cs="Arial"/>
          <w:sz w:val="20"/>
          <w:szCs w:val="20"/>
        </w:rPr>
        <w:t>, how</w:t>
      </w:r>
      <w:r w:rsidRPr="00D11A97">
        <w:rPr>
          <w:rFonts w:ascii="Century Gothic" w:hAnsi="Century Gothic" w:cs="Arial"/>
          <w:sz w:val="20"/>
          <w:szCs w:val="20"/>
        </w:rPr>
        <w:t xml:space="preserve"> and to whom it will be sent, and any limitations on its use by the receiving site.</w:t>
      </w:r>
    </w:p>
    <w:p w:rsidR="00FE2BA0" w:rsidRPr="00D11A97" w:rsidRDefault="00FE2BA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Discuss and decide among all sites whether the storage of the master dataset will be centralized (one site) or a</w:t>
      </w:r>
      <w:r w:rsidR="00C36CFB" w:rsidRPr="00D11A97">
        <w:rPr>
          <w:rFonts w:ascii="Century Gothic" w:hAnsi="Century Gothic" w:cs="Arial"/>
          <w:sz w:val="20"/>
          <w:szCs w:val="20"/>
        </w:rPr>
        <w:t xml:space="preserve"> copy at each</w:t>
      </w:r>
      <w:r w:rsidRPr="00D11A97">
        <w:rPr>
          <w:rFonts w:ascii="Century Gothic" w:hAnsi="Century Gothic" w:cs="Arial"/>
          <w:sz w:val="20"/>
          <w:szCs w:val="20"/>
        </w:rPr>
        <w:t xml:space="preserve"> site.  </w:t>
      </w:r>
    </w:p>
    <w:p w:rsidR="00FE2BA0" w:rsidRPr="00D11A97" w:rsidRDefault="00FE2BA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Discuss and decide whether final analyses on the merged dataset will be centralized (one site) or across sites, with a subset of the final dataset or with the full final dataset (related to #</w:t>
      </w:r>
      <w:r w:rsidR="00C36CFB" w:rsidRPr="00D11A97">
        <w:rPr>
          <w:rFonts w:ascii="Century Gothic" w:hAnsi="Century Gothic" w:cs="Arial"/>
          <w:sz w:val="20"/>
          <w:szCs w:val="20"/>
        </w:rPr>
        <w:t>3</w:t>
      </w:r>
      <w:r w:rsidRPr="00D11A97">
        <w:rPr>
          <w:rFonts w:ascii="Century Gothic" w:hAnsi="Century Gothic" w:cs="Arial"/>
          <w:sz w:val="20"/>
          <w:szCs w:val="20"/>
        </w:rPr>
        <w:t xml:space="preserve"> above).  </w:t>
      </w:r>
    </w:p>
    <w:p w:rsidR="00FE2BA0" w:rsidRPr="00D11A97" w:rsidRDefault="00FE2BA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lastRenderedPageBreak/>
        <w:t>All participating sites in a multi-site project should share data in accord with the research proposal and the agreed upon data-sharing plan.</w:t>
      </w:r>
    </w:p>
    <w:p w:rsidR="00FE2BA0" w:rsidRPr="00D11A97" w:rsidRDefault="00FE2BA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The site sending the data (a</w:t>
      </w:r>
      <w:r w:rsidR="00C36CFB" w:rsidRPr="00D11A97">
        <w:rPr>
          <w:rFonts w:ascii="Century Gothic" w:hAnsi="Century Gothic" w:cs="Arial"/>
          <w:sz w:val="20"/>
          <w:szCs w:val="20"/>
        </w:rPr>
        <w:t>.</w:t>
      </w:r>
      <w:r w:rsidRPr="00D11A97">
        <w:rPr>
          <w:rFonts w:ascii="Century Gothic" w:hAnsi="Century Gothic" w:cs="Arial"/>
          <w:sz w:val="20"/>
          <w:szCs w:val="20"/>
        </w:rPr>
        <w:t>k</w:t>
      </w:r>
      <w:r w:rsidR="00C36CFB" w:rsidRPr="00D11A97">
        <w:rPr>
          <w:rFonts w:ascii="Century Gothic" w:hAnsi="Century Gothic" w:cs="Arial"/>
          <w:sz w:val="20"/>
          <w:szCs w:val="20"/>
        </w:rPr>
        <w:t>.</w:t>
      </w:r>
      <w:r w:rsidRPr="00D11A97">
        <w:rPr>
          <w:rFonts w:ascii="Century Gothic" w:hAnsi="Century Gothic" w:cs="Arial"/>
          <w:sz w:val="20"/>
          <w:szCs w:val="20"/>
        </w:rPr>
        <w:t>a</w:t>
      </w:r>
      <w:r w:rsidR="00C36CFB" w:rsidRPr="00D11A97">
        <w:rPr>
          <w:rFonts w:ascii="Century Gothic" w:hAnsi="Century Gothic" w:cs="Arial"/>
          <w:sz w:val="20"/>
          <w:szCs w:val="20"/>
        </w:rPr>
        <w:t>.</w:t>
      </w:r>
      <w:r w:rsidRPr="00D11A97">
        <w:rPr>
          <w:rFonts w:ascii="Century Gothic" w:hAnsi="Century Gothic" w:cs="Arial"/>
          <w:sz w:val="20"/>
          <w:szCs w:val="20"/>
        </w:rPr>
        <w:t xml:space="preserve"> covered entity, or generator) is responsible for initiating the DUA.  The process may be accelerated if both generator and recipient confer on the content of the agreement.</w:t>
      </w:r>
    </w:p>
    <w:p w:rsidR="00FE2BA0" w:rsidRPr="00D11A97" w:rsidRDefault="00FE2BA0" w:rsidP="00A46AFC">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The DUA should be generic enough to allow specific variables to change (via IRB modifications) as the project progresses</w:t>
      </w:r>
      <w:r w:rsidR="00C36CFB" w:rsidRPr="00D11A97">
        <w:rPr>
          <w:rFonts w:ascii="Century Gothic" w:hAnsi="Century Gothic" w:cs="Arial"/>
          <w:sz w:val="20"/>
          <w:szCs w:val="20"/>
        </w:rPr>
        <w:t>,</w:t>
      </w:r>
      <w:r w:rsidRPr="00D11A97">
        <w:rPr>
          <w:rFonts w:ascii="Century Gothic" w:hAnsi="Century Gothic" w:cs="Arial"/>
          <w:sz w:val="20"/>
          <w:szCs w:val="20"/>
        </w:rPr>
        <w:t xml:space="preserve"> to </w:t>
      </w:r>
      <w:r w:rsidR="00C36CFB" w:rsidRPr="00D11A97">
        <w:rPr>
          <w:rFonts w:ascii="Century Gothic" w:hAnsi="Century Gothic" w:cs="Arial"/>
          <w:sz w:val="20"/>
          <w:szCs w:val="20"/>
        </w:rPr>
        <w:t xml:space="preserve">avoid excessive modifications to the </w:t>
      </w:r>
      <w:r w:rsidRPr="00D11A97">
        <w:rPr>
          <w:rFonts w:ascii="Century Gothic" w:hAnsi="Century Gothic" w:cs="Arial"/>
          <w:sz w:val="20"/>
          <w:szCs w:val="20"/>
        </w:rPr>
        <w:t>DUA.</w:t>
      </w:r>
    </w:p>
    <w:p w:rsidR="00FE2BA0" w:rsidRPr="00D11A97" w:rsidRDefault="00FE2BA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Data are to be used for the express purpose of the research project for which it was disclosed, as stipulated by both the subcontract and DUA. Any changes to the intended use or scope of work (SOW) must be approved by the Investigator at the entity providing the data. The IRB, DUA and subcontract SOW must be modified to reflect changes to planned data use by the data recipient.</w:t>
      </w:r>
    </w:p>
    <w:p w:rsidR="00750F80" w:rsidRPr="00D11A97" w:rsidRDefault="00750F8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Data that are shared for planned use on a specific project must not be used by the receiving site for any other purpose without the PRIOR APPROVAL of the providing site(s).</w:t>
      </w:r>
    </w:p>
    <w:p w:rsidR="00FE2BA0" w:rsidRPr="00D11A97" w:rsidRDefault="00FE2BA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 xml:space="preserve">Each site providing data should provide an expected timeframe for turnaround of data requests, either as planned per the protocol or </w:t>
      </w:r>
      <w:r w:rsidR="00C7435A" w:rsidRPr="00D11A97">
        <w:rPr>
          <w:rFonts w:ascii="Century Gothic" w:hAnsi="Century Gothic" w:cs="Arial"/>
          <w:sz w:val="20"/>
          <w:szCs w:val="20"/>
        </w:rPr>
        <w:t>for supplemental data requests</w:t>
      </w:r>
      <w:r w:rsidRPr="00D11A97">
        <w:rPr>
          <w:rFonts w:ascii="Century Gothic" w:hAnsi="Century Gothic" w:cs="Arial"/>
          <w:sz w:val="20"/>
          <w:szCs w:val="20"/>
        </w:rPr>
        <w:t xml:space="preserve">.  </w:t>
      </w:r>
    </w:p>
    <w:p w:rsidR="00FE2BA0" w:rsidRPr="00D11A97" w:rsidRDefault="00FE2BA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As a group, decide who will review and approve new data requests, most often for affiliate and ancillary projects (e.g., new proposals committee, steering committee). Agree upon and document composition and logistical issues at the onset.</w:t>
      </w:r>
    </w:p>
    <w:p w:rsidR="00FE2BA0" w:rsidRPr="00D11A97" w:rsidRDefault="00FE2BA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Sending aggregate data without identifiers or dates does not qualify as a limited data set and can be sent to a collaborator without executing a DUA provided the likelihood of an individual being re-identified is small. For example if the number in each cell is significant, the data can be shared with other researchers. Even with very small numbers in a cell, the data may be safe to send</w:t>
      </w:r>
      <w:r w:rsidR="003579E5" w:rsidRPr="00D11A97">
        <w:rPr>
          <w:rFonts w:ascii="Century Gothic" w:hAnsi="Century Gothic" w:cs="Arial"/>
          <w:sz w:val="20"/>
          <w:szCs w:val="20"/>
        </w:rPr>
        <w:t xml:space="preserve"> </w:t>
      </w:r>
      <w:r w:rsidRPr="00D11A97">
        <w:rPr>
          <w:rFonts w:ascii="Century Gothic" w:hAnsi="Century Gothic" w:cs="Arial"/>
          <w:sz w:val="20"/>
          <w:szCs w:val="20"/>
        </w:rPr>
        <w:t>if the categories it represents are broad enough, e.g. ages in five- or ten-year groups.</w:t>
      </w:r>
    </w:p>
    <w:p w:rsidR="005B59D3" w:rsidRPr="00D11A97" w:rsidRDefault="005B59D3"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HIPAA regulations strongly encourage conducting research with “minimum data necessary</w:t>
      </w:r>
      <w:r w:rsidR="004900C6" w:rsidRPr="00D11A97">
        <w:rPr>
          <w:rFonts w:ascii="Century Gothic" w:hAnsi="Century Gothic" w:cs="Arial"/>
          <w:sz w:val="20"/>
          <w:szCs w:val="20"/>
        </w:rPr>
        <w:t>,</w:t>
      </w:r>
      <w:r w:rsidRPr="00D11A97">
        <w:rPr>
          <w:rFonts w:ascii="Century Gothic" w:hAnsi="Century Gothic" w:cs="Arial"/>
          <w:sz w:val="20"/>
          <w:szCs w:val="20"/>
        </w:rPr>
        <w:t>”</w:t>
      </w:r>
      <w:r w:rsidR="00C7435A" w:rsidRPr="00D11A97">
        <w:rPr>
          <w:rFonts w:ascii="Century Gothic" w:hAnsi="Century Gothic" w:cs="Arial"/>
          <w:sz w:val="20"/>
          <w:szCs w:val="20"/>
        </w:rPr>
        <w:t xml:space="preserve"> though</w:t>
      </w:r>
      <w:r w:rsidRPr="00D11A97">
        <w:rPr>
          <w:rFonts w:ascii="Century Gothic" w:hAnsi="Century Gothic" w:cs="Arial"/>
          <w:sz w:val="20"/>
          <w:szCs w:val="20"/>
        </w:rPr>
        <w:t xml:space="preserve"> </w:t>
      </w:r>
      <w:r w:rsidR="00C7435A" w:rsidRPr="00D11A97">
        <w:rPr>
          <w:rFonts w:ascii="Century Gothic" w:hAnsi="Century Gothic" w:cs="Arial"/>
          <w:sz w:val="20"/>
          <w:szCs w:val="20"/>
        </w:rPr>
        <w:t>the adequacy of the data</w:t>
      </w:r>
      <w:r w:rsidRPr="00D11A97">
        <w:rPr>
          <w:rFonts w:ascii="Century Gothic" w:hAnsi="Century Gothic" w:cs="Arial"/>
          <w:sz w:val="20"/>
          <w:szCs w:val="20"/>
        </w:rPr>
        <w:t xml:space="preserve"> must </w:t>
      </w:r>
      <w:r w:rsidR="00C7435A" w:rsidRPr="00D11A97">
        <w:rPr>
          <w:rFonts w:ascii="Century Gothic" w:hAnsi="Century Gothic" w:cs="Arial"/>
          <w:sz w:val="20"/>
          <w:szCs w:val="20"/>
        </w:rPr>
        <w:t xml:space="preserve">satisfy </w:t>
      </w:r>
      <w:r w:rsidRPr="00D11A97">
        <w:rPr>
          <w:rFonts w:ascii="Century Gothic" w:hAnsi="Century Gothic" w:cs="Arial"/>
          <w:sz w:val="20"/>
          <w:szCs w:val="20"/>
        </w:rPr>
        <w:t>the scientific needs of the project for high quality data analysis and maximum research productivity.</w:t>
      </w:r>
    </w:p>
    <w:p w:rsidR="00FE2BA0" w:rsidRPr="00D11A97" w:rsidRDefault="00FE2BA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IRB applications should specify the type of data</w:t>
      </w:r>
      <w:r w:rsidR="00246C97" w:rsidRPr="00D11A97">
        <w:rPr>
          <w:rFonts w:ascii="Century Gothic" w:hAnsi="Century Gothic" w:cs="Arial"/>
          <w:sz w:val="20"/>
          <w:szCs w:val="20"/>
        </w:rPr>
        <w:t>,</w:t>
      </w:r>
      <w:r w:rsidRPr="00D11A97">
        <w:rPr>
          <w:rFonts w:ascii="Century Gothic" w:hAnsi="Century Gothic" w:cs="Arial"/>
          <w:sz w:val="20"/>
          <w:szCs w:val="20"/>
        </w:rPr>
        <w:t xml:space="preserve"> source</w:t>
      </w:r>
      <w:r w:rsidR="00246C97" w:rsidRPr="00D11A97">
        <w:rPr>
          <w:rFonts w:ascii="Century Gothic" w:hAnsi="Century Gothic" w:cs="Arial"/>
          <w:sz w:val="20"/>
          <w:szCs w:val="20"/>
        </w:rPr>
        <w:t>, frequency</w:t>
      </w:r>
      <w:r w:rsidRPr="00D11A97">
        <w:rPr>
          <w:rFonts w:ascii="Century Gothic" w:hAnsi="Century Gothic" w:cs="Arial"/>
          <w:sz w:val="20"/>
          <w:szCs w:val="20"/>
        </w:rPr>
        <w:t xml:space="preserve"> </w:t>
      </w:r>
      <w:r w:rsidR="00246C97" w:rsidRPr="00D11A97">
        <w:rPr>
          <w:rFonts w:ascii="Century Gothic" w:hAnsi="Century Gothic" w:cs="Arial"/>
          <w:sz w:val="20"/>
          <w:szCs w:val="20"/>
        </w:rPr>
        <w:t xml:space="preserve">and how the </w:t>
      </w:r>
      <w:r w:rsidRPr="00D11A97">
        <w:rPr>
          <w:rFonts w:ascii="Century Gothic" w:hAnsi="Century Gothic" w:cs="Arial"/>
          <w:sz w:val="20"/>
          <w:szCs w:val="20"/>
        </w:rPr>
        <w:t xml:space="preserve">data </w:t>
      </w:r>
      <w:r w:rsidR="00246C97" w:rsidRPr="00D11A97">
        <w:rPr>
          <w:rFonts w:ascii="Century Gothic" w:hAnsi="Century Gothic" w:cs="Arial"/>
          <w:sz w:val="20"/>
          <w:szCs w:val="20"/>
        </w:rPr>
        <w:t xml:space="preserve">will be </w:t>
      </w:r>
      <w:r w:rsidR="000B22F7" w:rsidRPr="00D11A97">
        <w:rPr>
          <w:rFonts w:ascii="Century Gothic" w:hAnsi="Century Gothic" w:cs="Arial"/>
          <w:sz w:val="20"/>
          <w:szCs w:val="20"/>
        </w:rPr>
        <w:t>shared among</w:t>
      </w:r>
      <w:r w:rsidRPr="00D11A97">
        <w:rPr>
          <w:rFonts w:ascii="Century Gothic" w:hAnsi="Century Gothic" w:cs="Arial"/>
          <w:sz w:val="20"/>
          <w:szCs w:val="20"/>
        </w:rPr>
        <w:t xml:space="preserve"> the multi-site project team.</w:t>
      </w:r>
    </w:p>
    <w:p w:rsidR="00FE2BA0" w:rsidRPr="00D11A97" w:rsidRDefault="00FE2BA0" w:rsidP="00C36CFB">
      <w:pPr>
        <w:pStyle w:val="ListParagraph"/>
        <w:spacing w:after="120"/>
        <w:rPr>
          <w:rFonts w:ascii="Century Gothic" w:hAnsi="Century Gothic" w:cs="Arial"/>
          <w:sz w:val="20"/>
          <w:szCs w:val="20"/>
        </w:rPr>
      </w:pPr>
    </w:p>
    <w:p w:rsidR="00FE2BA0" w:rsidRPr="00D11A97" w:rsidRDefault="00FE2BA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It is extremely important to protect privacy, confidentiality, and often anonymity of clinics, health systems, patients, members and research subjects.  Prior to data transfer, protocols at the data sharing site</w:t>
      </w:r>
      <w:r w:rsidR="00246C97" w:rsidRPr="00D11A97">
        <w:rPr>
          <w:rFonts w:ascii="Century Gothic" w:hAnsi="Century Gothic" w:cs="Arial"/>
          <w:sz w:val="20"/>
          <w:szCs w:val="20"/>
        </w:rPr>
        <w:t xml:space="preserve"> (s)</w:t>
      </w:r>
      <w:r w:rsidRPr="00D11A97">
        <w:rPr>
          <w:rFonts w:ascii="Century Gothic" w:hAnsi="Century Gothic" w:cs="Arial"/>
          <w:sz w:val="20"/>
          <w:szCs w:val="20"/>
        </w:rPr>
        <w:t xml:space="preserve"> must be adhered to that certify the research data set does not contain direct identifiers</w:t>
      </w:r>
      <w:r w:rsidR="00C7435A" w:rsidRPr="00D11A97">
        <w:rPr>
          <w:rFonts w:ascii="Century Gothic" w:hAnsi="Century Gothic" w:cs="Arial"/>
          <w:sz w:val="20"/>
          <w:szCs w:val="20"/>
        </w:rPr>
        <w:t xml:space="preserve"> (per HIPAA)</w:t>
      </w:r>
      <w:r w:rsidRPr="00D11A97">
        <w:rPr>
          <w:rFonts w:ascii="Century Gothic" w:hAnsi="Century Gothic" w:cs="Arial"/>
          <w:sz w:val="20"/>
          <w:szCs w:val="20"/>
        </w:rPr>
        <w:t>, and the risk of re-identification is minimal.</w:t>
      </w:r>
    </w:p>
    <w:p w:rsidR="00FE2BA0" w:rsidRPr="00D11A97" w:rsidRDefault="00FE2BA0" w:rsidP="00C36CFB">
      <w:pPr>
        <w:pStyle w:val="ListParagraph"/>
        <w:spacing w:after="120"/>
        <w:rPr>
          <w:rFonts w:ascii="Century Gothic" w:hAnsi="Century Gothic" w:cs="Arial"/>
          <w:sz w:val="20"/>
          <w:szCs w:val="20"/>
        </w:rPr>
      </w:pPr>
    </w:p>
    <w:p w:rsidR="00FE2BA0" w:rsidRPr="00D11A97" w:rsidRDefault="00FE2BA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Both limited datasets and de-identified datasets may include a study number assigned for the project as long as it is not a combination of numbers that would allow identification of the individual (such as a scrambled birth date and Social Security Number).</w:t>
      </w:r>
    </w:p>
    <w:p w:rsidR="00FE2BA0" w:rsidRPr="00D11A97" w:rsidRDefault="00FE2BA0" w:rsidP="00C36CFB">
      <w:pPr>
        <w:pStyle w:val="ListParagraph"/>
        <w:spacing w:after="120"/>
        <w:rPr>
          <w:rFonts w:ascii="Century Gothic" w:hAnsi="Century Gothic" w:cs="Arial"/>
          <w:sz w:val="20"/>
          <w:szCs w:val="20"/>
        </w:rPr>
      </w:pPr>
    </w:p>
    <w:p w:rsidR="00FE2BA0" w:rsidRPr="00D11A97" w:rsidRDefault="00FE2BA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No one having access to the data will attempt to learn the identity of any persons, physicians, facilities, or sites. In the event that Data Recipient or collaborator is able to deduce the identity of a specific patient, physician, facility, or site s/he agrees to not attempt to contact these individuals or institutions.</w:t>
      </w:r>
    </w:p>
    <w:p w:rsidR="00750F80" w:rsidRPr="00D11A97" w:rsidRDefault="00750F80" w:rsidP="00C36CFB">
      <w:pPr>
        <w:pStyle w:val="ListParagraph"/>
        <w:spacing w:after="120"/>
        <w:rPr>
          <w:rFonts w:ascii="Century Gothic" w:hAnsi="Century Gothic" w:cs="Arial"/>
          <w:sz w:val="20"/>
          <w:szCs w:val="20"/>
        </w:rPr>
      </w:pPr>
    </w:p>
    <w:p w:rsidR="00750F80" w:rsidRPr="00D11A97" w:rsidRDefault="00750F8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 xml:space="preserve">Data Recipient will establish and maintain the appropriate administrative, technical, and physical safeguards to protect the confidentiality of the data and to prevent unauthorized use or access to it, as described in the proposal. If the Data Recipient becomes aware of any use or </w:t>
      </w:r>
      <w:r w:rsidRPr="00D11A97">
        <w:rPr>
          <w:rFonts w:ascii="Century Gothic" w:hAnsi="Century Gothic" w:cs="Arial"/>
          <w:sz w:val="20"/>
          <w:szCs w:val="20"/>
        </w:rPr>
        <w:lastRenderedPageBreak/>
        <w:t>disclosure of the Data Set/Tables not permitted by this Agreement, s/he agrees to report it to the data provider.</w:t>
      </w:r>
    </w:p>
    <w:p w:rsidR="00FE2BA0" w:rsidRPr="00D11A97" w:rsidRDefault="00FE2BA0" w:rsidP="00C36CFB">
      <w:pPr>
        <w:pStyle w:val="ListParagraph"/>
        <w:spacing w:after="120"/>
        <w:rPr>
          <w:rFonts w:ascii="Century Gothic" w:hAnsi="Century Gothic" w:cs="Arial"/>
          <w:sz w:val="20"/>
          <w:szCs w:val="20"/>
        </w:rPr>
      </w:pPr>
    </w:p>
    <w:p w:rsidR="00FE2BA0" w:rsidRPr="00D11A97" w:rsidRDefault="00FE2BA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 xml:space="preserve">Each Kaiser Permanente region that is a member of the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is considered a separate covered entity for the purposes of this policy.</w:t>
      </w:r>
    </w:p>
    <w:p w:rsidR="00FE2BA0" w:rsidRPr="00D11A97" w:rsidRDefault="00FE2BA0" w:rsidP="00C36CFB">
      <w:pPr>
        <w:pStyle w:val="ListParagraph"/>
        <w:spacing w:after="120"/>
        <w:rPr>
          <w:rFonts w:ascii="Century Gothic" w:hAnsi="Century Gothic" w:cs="Arial"/>
          <w:sz w:val="20"/>
          <w:szCs w:val="20"/>
        </w:rPr>
      </w:pPr>
    </w:p>
    <w:p w:rsidR="00FE2BA0" w:rsidRPr="00D11A97" w:rsidRDefault="00FE2BA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IRB policies may not allow sharing of research data sets of any type after the IRB file for the original study has been closed. Check with your local IRB for guidance.</w:t>
      </w:r>
    </w:p>
    <w:p w:rsidR="00750F80" w:rsidRPr="00D11A97" w:rsidRDefault="00750F80" w:rsidP="00C36CFB">
      <w:pPr>
        <w:pStyle w:val="ListParagraph"/>
        <w:spacing w:after="120"/>
        <w:rPr>
          <w:rFonts w:ascii="Century Gothic" w:hAnsi="Century Gothic" w:cs="Arial"/>
          <w:sz w:val="20"/>
          <w:szCs w:val="20"/>
        </w:rPr>
      </w:pPr>
    </w:p>
    <w:p w:rsidR="00750F80" w:rsidRPr="00D11A97" w:rsidRDefault="00750F8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 xml:space="preserve">Consider keeping the pooled analytic dataset for each study as a resource that, under the appropriate protections and oversight, will be usable by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investigators and others for new approved ancillary projects.  These ancillary projects may go beyond the original study’s specific aims and could occur even after the end of the original project’s study period.</w:t>
      </w:r>
    </w:p>
    <w:p w:rsidR="00750F80" w:rsidRPr="00D11A97" w:rsidRDefault="00750F80" w:rsidP="00C36CFB">
      <w:pPr>
        <w:pStyle w:val="ListParagraph"/>
        <w:spacing w:after="120"/>
        <w:rPr>
          <w:rFonts w:ascii="Century Gothic" w:hAnsi="Century Gothic" w:cs="Arial"/>
          <w:sz w:val="20"/>
          <w:szCs w:val="20"/>
        </w:rPr>
      </w:pPr>
    </w:p>
    <w:p w:rsidR="00750F80" w:rsidRPr="00D11A97" w:rsidRDefault="00750F80" w:rsidP="00C36CFB">
      <w:pPr>
        <w:pStyle w:val="ListParagraph"/>
        <w:numPr>
          <w:ilvl w:val="1"/>
          <w:numId w:val="4"/>
        </w:numPr>
        <w:spacing w:after="120"/>
        <w:rPr>
          <w:rFonts w:ascii="Century Gothic" w:hAnsi="Century Gothic" w:cs="Arial"/>
          <w:sz w:val="20"/>
          <w:szCs w:val="20"/>
        </w:rPr>
      </w:pPr>
      <w:r w:rsidRPr="00D11A97">
        <w:rPr>
          <w:rFonts w:ascii="Century Gothic" w:hAnsi="Century Gothic" w:cs="Arial"/>
          <w:sz w:val="20"/>
          <w:szCs w:val="20"/>
        </w:rPr>
        <w:t xml:space="preserve">For proposed new analyses or studies, the </w:t>
      </w:r>
      <w:r w:rsidR="00C7435A" w:rsidRPr="00D11A97">
        <w:rPr>
          <w:rFonts w:ascii="Century Gothic" w:hAnsi="Century Gothic" w:cs="Arial"/>
          <w:sz w:val="20"/>
          <w:szCs w:val="20"/>
        </w:rPr>
        <w:t xml:space="preserve">lead site </w:t>
      </w:r>
      <w:r w:rsidRPr="00D11A97">
        <w:rPr>
          <w:rFonts w:ascii="Century Gothic" w:hAnsi="Century Gothic" w:cs="Arial"/>
          <w:sz w:val="20"/>
          <w:szCs w:val="20"/>
        </w:rPr>
        <w:t>will request the site PIs send an email affirmation that their data can be used for the proposed new study.</w:t>
      </w:r>
    </w:p>
    <w:p w:rsidR="00750F80" w:rsidRPr="00D11A97" w:rsidRDefault="00750F80" w:rsidP="00C36CFB">
      <w:pPr>
        <w:numPr>
          <w:ilvl w:val="1"/>
          <w:numId w:val="4"/>
        </w:numPr>
        <w:spacing w:after="120"/>
        <w:rPr>
          <w:rFonts w:ascii="Century Gothic" w:hAnsi="Century Gothic" w:cs="Arial"/>
          <w:sz w:val="20"/>
          <w:szCs w:val="20"/>
        </w:rPr>
      </w:pPr>
      <w:r w:rsidRPr="00D11A97">
        <w:rPr>
          <w:rFonts w:ascii="Century Gothic" w:hAnsi="Century Gothic" w:cs="Arial"/>
          <w:sz w:val="20"/>
          <w:szCs w:val="20"/>
        </w:rPr>
        <w:t>De-identifying research data should not be a cost burden to the original study. That is, if support for de-identifying data is not budgeted as part of the original project, secondary sharing of de-identified data is not obligatory.</w:t>
      </w:r>
    </w:p>
    <w:p w:rsidR="00750F80" w:rsidRPr="00D11A97" w:rsidRDefault="00750F80" w:rsidP="00750F80">
      <w:pPr>
        <w:numPr>
          <w:ilvl w:val="1"/>
          <w:numId w:val="4"/>
        </w:numPr>
        <w:spacing w:before="240" w:after="120"/>
        <w:rPr>
          <w:rFonts w:ascii="Century Gothic" w:hAnsi="Century Gothic" w:cs="Arial"/>
          <w:sz w:val="20"/>
          <w:szCs w:val="20"/>
        </w:rPr>
      </w:pPr>
      <w:r w:rsidRPr="00D11A97">
        <w:rPr>
          <w:rFonts w:ascii="Century Gothic" w:hAnsi="Century Gothic" w:cs="Arial"/>
          <w:sz w:val="20"/>
          <w:szCs w:val="20"/>
        </w:rPr>
        <w:t>When releasing de-identified data sets (e.g., per NIH policy to support secondary analyses), to ensure integrity of the original research data, the primary investigative team [data holder] should provide:</w:t>
      </w:r>
    </w:p>
    <w:p w:rsidR="00750F80" w:rsidRPr="00D11A97" w:rsidRDefault="00750F80" w:rsidP="004155C1">
      <w:pPr>
        <w:numPr>
          <w:ilvl w:val="2"/>
          <w:numId w:val="19"/>
        </w:numPr>
        <w:ind w:right="1440"/>
        <w:rPr>
          <w:rFonts w:ascii="Century Gothic" w:hAnsi="Century Gothic" w:cs="Arial"/>
          <w:sz w:val="20"/>
          <w:szCs w:val="20"/>
        </w:rPr>
      </w:pPr>
      <w:r w:rsidRPr="00D11A97">
        <w:rPr>
          <w:rFonts w:ascii="Century Gothic" w:hAnsi="Century Gothic" w:cs="Arial"/>
          <w:sz w:val="20"/>
          <w:szCs w:val="20"/>
        </w:rPr>
        <w:t xml:space="preserve">a brief description of the data source(s), </w:t>
      </w:r>
    </w:p>
    <w:p w:rsidR="00750F80" w:rsidRPr="00D11A97" w:rsidRDefault="00750F80" w:rsidP="004155C1">
      <w:pPr>
        <w:numPr>
          <w:ilvl w:val="2"/>
          <w:numId w:val="19"/>
        </w:numPr>
        <w:ind w:right="1440"/>
        <w:rPr>
          <w:rFonts w:ascii="Century Gothic" w:hAnsi="Century Gothic" w:cs="Arial"/>
          <w:sz w:val="20"/>
          <w:szCs w:val="20"/>
        </w:rPr>
      </w:pPr>
      <w:r w:rsidRPr="00D11A97">
        <w:rPr>
          <w:rFonts w:ascii="Century Gothic" w:hAnsi="Century Gothic" w:cs="Arial"/>
          <w:sz w:val="20"/>
          <w:szCs w:val="20"/>
        </w:rPr>
        <w:t xml:space="preserve">abstract describing the original intended use of the data and period of time the data was collected, </w:t>
      </w:r>
    </w:p>
    <w:p w:rsidR="00750F80" w:rsidRPr="00D11A97" w:rsidRDefault="00750F80" w:rsidP="004155C1">
      <w:pPr>
        <w:numPr>
          <w:ilvl w:val="2"/>
          <w:numId w:val="19"/>
        </w:numPr>
        <w:ind w:right="1440"/>
        <w:rPr>
          <w:rFonts w:ascii="Century Gothic" w:hAnsi="Century Gothic" w:cs="Arial"/>
          <w:sz w:val="20"/>
          <w:szCs w:val="20"/>
        </w:rPr>
      </w:pPr>
      <w:r w:rsidRPr="00D11A97">
        <w:rPr>
          <w:rFonts w:ascii="Century Gothic" w:hAnsi="Century Gothic" w:cs="Arial"/>
          <w:sz w:val="20"/>
          <w:szCs w:val="20"/>
        </w:rPr>
        <w:t xml:space="preserve">a data dictionary so that the data user understands and can interpret all data elements accurately, </w:t>
      </w:r>
    </w:p>
    <w:p w:rsidR="00750F80" w:rsidRPr="00D11A97" w:rsidRDefault="00750F80" w:rsidP="004155C1">
      <w:pPr>
        <w:numPr>
          <w:ilvl w:val="2"/>
          <w:numId w:val="19"/>
        </w:numPr>
        <w:ind w:right="1440"/>
        <w:rPr>
          <w:rFonts w:ascii="Century Gothic" w:hAnsi="Century Gothic" w:cs="Arial"/>
          <w:sz w:val="20"/>
          <w:szCs w:val="20"/>
        </w:rPr>
      </w:pPr>
      <w:proofErr w:type="gramStart"/>
      <w:r w:rsidRPr="00D11A97">
        <w:rPr>
          <w:rFonts w:ascii="Century Gothic" w:hAnsi="Century Gothic" w:cs="Arial"/>
          <w:sz w:val="20"/>
          <w:szCs w:val="20"/>
        </w:rPr>
        <w:t>how</w:t>
      </w:r>
      <w:proofErr w:type="gramEnd"/>
      <w:r w:rsidRPr="00D11A97">
        <w:rPr>
          <w:rFonts w:ascii="Century Gothic" w:hAnsi="Century Gothic" w:cs="Arial"/>
          <w:sz w:val="20"/>
          <w:szCs w:val="20"/>
        </w:rPr>
        <w:t xml:space="preserve"> the original research data should be referenced in subsequent manuscripts written, and any authorship requirements.</w:t>
      </w:r>
    </w:p>
    <w:p w:rsidR="00E96F17" w:rsidRPr="00D11A97" w:rsidRDefault="00E96F17" w:rsidP="00E96F17">
      <w:pPr>
        <w:ind w:left="720"/>
        <w:rPr>
          <w:rFonts w:ascii="Century Gothic" w:hAnsi="Century Gothic" w:cs="Arial"/>
          <w:sz w:val="20"/>
          <w:szCs w:val="20"/>
        </w:rPr>
      </w:pPr>
    </w:p>
    <w:p w:rsidR="00990B5D" w:rsidRPr="00D11A97" w:rsidRDefault="00990B5D" w:rsidP="00990B5D">
      <w:pPr>
        <w:spacing w:before="240" w:after="120"/>
        <w:rPr>
          <w:rFonts w:ascii="Century Gothic" w:hAnsi="Century Gothic" w:cs="Arial"/>
          <w:b/>
          <w:sz w:val="20"/>
          <w:szCs w:val="20"/>
        </w:rPr>
      </w:pPr>
      <w:bookmarkStart w:id="3" w:name="Pitfalls"/>
      <w:bookmarkStart w:id="4" w:name="Other_Considerations"/>
      <w:bookmarkStart w:id="5" w:name="External_Links"/>
      <w:bookmarkStart w:id="6" w:name="Repository"/>
      <w:bookmarkStart w:id="7" w:name="More_HMORNResources"/>
      <w:bookmarkEnd w:id="3"/>
      <w:bookmarkEnd w:id="4"/>
      <w:bookmarkEnd w:id="5"/>
      <w:bookmarkEnd w:id="6"/>
      <w:bookmarkEnd w:id="7"/>
      <w:r w:rsidRPr="00D11A97">
        <w:rPr>
          <w:rFonts w:ascii="Century Gothic" w:hAnsi="Century Gothic" w:cs="Arial"/>
          <w:b/>
          <w:sz w:val="20"/>
          <w:szCs w:val="20"/>
        </w:rPr>
        <w:t>Other Data Sharing Resources</w:t>
      </w:r>
    </w:p>
    <w:p w:rsidR="00990B5D" w:rsidRPr="00D11A97" w:rsidRDefault="00990B5D" w:rsidP="00990B5D">
      <w:pPr>
        <w:spacing w:before="240" w:after="120"/>
        <w:rPr>
          <w:rFonts w:ascii="Century Gothic" w:hAnsi="Century Gothic" w:cs="Arial"/>
          <w:sz w:val="20"/>
          <w:szCs w:val="20"/>
        </w:rPr>
      </w:pPr>
      <w:r w:rsidRPr="00D11A97">
        <w:rPr>
          <w:rFonts w:ascii="Century Gothic" w:hAnsi="Century Gothic" w:cs="Arial"/>
          <w:sz w:val="20"/>
          <w:szCs w:val="20"/>
        </w:rPr>
        <w:t xml:space="preserve">The following materials are available to assist project teams developing data sharing policies. </w:t>
      </w:r>
    </w:p>
    <w:p w:rsidR="00990B5D" w:rsidRPr="00D11A97" w:rsidRDefault="00F65C93" w:rsidP="00990B5D">
      <w:pPr>
        <w:numPr>
          <w:ilvl w:val="0"/>
          <w:numId w:val="2"/>
        </w:numPr>
        <w:spacing w:before="240" w:after="120"/>
        <w:rPr>
          <w:rFonts w:ascii="Century Gothic" w:hAnsi="Century Gothic" w:cs="Arial"/>
          <w:b/>
          <w:i/>
          <w:iCs/>
          <w:sz w:val="20"/>
          <w:szCs w:val="20"/>
        </w:rPr>
      </w:pPr>
      <w:hyperlink r:id="rId9" w:history="1">
        <w:r w:rsidR="00D11A97" w:rsidRPr="00D11A97">
          <w:rPr>
            <w:rStyle w:val="Hyperlink"/>
            <w:rFonts w:ascii="Century Gothic" w:hAnsi="Century Gothic" w:cs="Arial"/>
            <w:sz w:val="20"/>
            <w:szCs w:val="20"/>
          </w:rPr>
          <w:t>HCSRN</w:t>
        </w:r>
        <w:r w:rsidR="00990B5D" w:rsidRPr="00D11A97">
          <w:rPr>
            <w:rStyle w:val="Hyperlink"/>
            <w:rFonts w:ascii="Century Gothic" w:hAnsi="Century Gothic" w:cs="Arial"/>
            <w:sz w:val="20"/>
            <w:szCs w:val="20"/>
          </w:rPr>
          <w:t xml:space="preserve"> shared principles</w:t>
        </w:r>
      </w:hyperlink>
      <w:r w:rsidR="00990B5D" w:rsidRPr="00D11A97">
        <w:rPr>
          <w:rFonts w:ascii="Century Gothic" w:hAnsi="Century Gothic" w:cs="Arial"/>
          <w:sz w:val="20"/>
          <w:szCs w:val="20"/>
        </w:rPr>
        <w:t xml:space="preserve"> for de-identified research dataset including small cell sizes</w:t>
      </w:r>
      <w:r w:rsidR="00990B5D" w:rsidRPr="00D11A97">
        <w:rPr>
          <w:rFonts w:ascii="Century Gothic" w:hAnsi="Century Gothic" w:cs="Arial"/>
          <w:b/>
          <w:i/>
          <w:iCs/>
          <w:sz w:val="20"/>
          <w:szCs w:val="20"/>
        </w:rPr>
        <w:t xml:space="preserve"> </w:t>
      </w:r>
    </w:p>
    <w:p w:rsidR="00990B5D" w:rsidRPr="00F65C93" w:rsidRDefault="00F65C93" w:rsidP="00990B5D">
      <w:pPr>
        <w:numPr>
          <w:ilvl w:val="0"/>
          <w:numId w:val="2"/>
        </w:numPr>
        <w:spacing w:before="240" w:after="120"/>
        <w:rPr>
          <w:rFonts w:ascii="Century Gothic" w:hAnsi="Century Gothic" w:cs="Arial"/>
          <w:b/>
          <w:i/>
          <w:iCs/>
          <w:sz w:val="20"/>
          <w:szCs w:val="20"/>
        </w:rPr>
      </w:pPr>
      <w:hyperlink r:id="rId10" w:history="1">
        <w:r w:rsidR="00990B5D" w:rsidRPr="00D11A97">
          <w:rPr>
            <w:rStyle w:val="Hyperlink"/>
            <w:rFonts w:ascii="Century Gothic" w:hAnsi="Century Gothic" w:cs="Arial"/>
            <w:sz w:val="20"/>
            <w:szCs w:val="20"/>
          </w:rPr>
          <w:t>Checklist</w:t>
        </w:r>
      </w:hyperlink>
      <w:r w:rsidR="00990B5D" w:rsidRPr="00D11A97">
        <w:rPr>
          <w:rFonts w:ascii="Century Gothic" w:hAnsi="Century Gothic" w:cs="Arial"/>
          <w:sz w:val="20"/>
          <w:szCs w:val="20"/>
        </w:rPr>
        <w:t xml:space="preserve"> for use of the “expert determination method” for documentation of low re-identification risk</w:t>
      </w:r>
      <w:r w:rsidR="00990B5D" w:rsidRPr="00D11A97">
        <w:rPr>
          <w:rFonts w:ascii="Century Gothic" w:hAnsi="Century Gothic" w:cs="Calibri"/>
          <w:sz w:val="20"/>
          <w:szCs w:val="20"/>
        </w:rPr>
        <w:t xml:space="preserve"> </w:t>
      </w:r>
    </w:p>
    <w:p w:rsidR="00F65C93" w:rsidRPr="00D11A97" w:rsidRDefault="00F65C93" w:rsidP="00F65C93">
      <w:pPr>
        <w:spacing w:before="240" w:after="120"/>
        <w:ind w:left="360"/>
        <w:rPr>
          <w:rFonts w:ascii="Century Gothic" w:hAnsi="Century Gothic" w:cs="Arial"/>
          <w:b/>
          <w:i/>
          <w:iCs/>
          <w:sz w:val="20"/>
          <w:szCs w:val="20"/>
        </w:rPr>
      </w:pPr>
    </w:p>
    <w:p w:rsidR="00990B5D" w:rsidRPr="00D11A97" w:rsidRDefault="00990B5D" w:rsidP="00990B5D">
      <w:pPr>
        <w:spacing w:before="240" w:after="120"/>
        <w:rPr>
          <w:rFonts w:ascii="Century Gothic" w:hAnsi="Century Gothic" w:cs="Arial"/>
          <w:b/>
          <w:sz w:val="20"/>
          <w:szCs w:val="20"/>
        </w:rPr>
      </w:pPr>
      <w:r w:rsidRPr="00D11A97">
        <w:rPr>
          <w:rFonts w:ascii="Century Gothic" w:hAnsi="Century Gothic" w:cs="Arial"/>
          <w:b/>
          <w:sz w:val="20"/>
          <w:szCs w:val="20"/>
        </w:rPr>
        <w:t xml:space="preserve">Other </w:t>
      </w:r>
      <w:r w:rsidR="00D11A97" w:rsidRPr="00D11A97">
        <w:rPr>
          <w:rFonts w:ascii="Century Gothic" w:hAnsi="Century Gothic" w:cs="Arial"/>
          <w:b/>
          <w:sz w:val="20"/>
          <w:szCs w:val="20"/>
        </w:rPr>
        <w:t>HCSRN</w:t>
      </w:r>
      <w:r w:rsidRPr="00D11A97">
        <w:rPr>
          <w:rFonts w:ascii="Century Gothic" w:hAnsi="Century Gothic" w:cs="Arial"/>
          <w:b/>
          <w:sz w:val="20"/>
          <w:szCs w:val="20"/>
        </w:rPr>
        <w:t xml:space="preserve"> Project Policy Topics</w:t>
      </w:r>
    </w:p>
    <w:p w:rsidR="00990B5D" w:rsidRPr="00D11A97" w:rsidRDefault="00990B5D" w:rsidP="00990B5D">
      <w:pPr>
        <w:spacing w:before="240" w:after="120"/>
        <w:rPr>
          <w:rFonts w:ascii="Century Gothic" w:hAnsi="Century Gothic" w:cs="Arial"/>
          <w:sz w:val="20"/>
          <w:szCs w:val="20"/>
        </w:rPr>
      </w:pPr>
      <w:r w:rsidRPr="00D11A97">
        <w:rPr>
          <w:rFonts w:ascii="Century Gothic" w:hAnsi="Century Gothic" w:cs="Arial"/>
          <w:sz w:val="20"/>
          <w:szCs w:val="20"/>
        </w:rPr>
        <w:t xml:space="preserve">Best practices guidance, examples of any existing policies, and comparisons of similarities/differences between existing policies </w:t>
      </w:r>
      <w:r w:rsidR="00F65C93">
        <w:rPr>
          <w:rFonts w:ascii="Century Gothic" w:hAnsi="Century Gothic" w:cs="Arial"/>
          <w:sz w:val="20"/>
          <w:szCs w:val="20"/>
        </w:rPr>
        <w:t xml:space="preserve">have been </w:t>
      </w:r>
      <w:r w:rsidRPr="00D11A97">
        <w:rPr>
          <w:rFonts w:ascii="Century Gothic" w:hAnsi="Century Gothic" w:cs="Arial"/>
          <w:sz w:val="20"/>
          <w:szCs w:val="20"/>
        </w:rPr>
        <w:t xml:space="preserve">developed for </w:t>
      </w:r>
      <w:r w:rsidR="00F65C93">
        <w:rPr>
          <w:rFonts w:ascii="Century Gothic" w:hAnsi="Century Gothic" w:cs="Arial"/>
          <w:sz w:val="20"/>
          <w:szCs w:val="20"/>
        </w:rPr>
        <w:t>additional topics:</w:t>
      </w:r>
    </w:p>
    <w:p w:rsidR="00990B5D" w:rsidRPr="00D11A97" w:rsidRDefault="00990B5D" w:rsidP="00990B5D">
      <w:pPr>
        <w:numPr>
          <w:ilvl w:val="0"/>
          <w:numId w:val="3"/>
        </w:numPr>
        <w:spacing w:before="240" w:after="120"/>
        <w:rPr>
          <w:rFonts w:ascii="Century Gothic" w:hAnsi="Century Gothic" w:cs="Arial"/>
          <w:sz w:val="20"/>
          <w:szCs w:val="20"/>
        </w:rPr>
      </w:pPr>
      <w:r w:rsidRPr="00F65C93">
        <w:rPr>
          <w:rFonts w:ascii="Century Gothic" w:hAnsi="Century Gothic" w:cs="Arial"/>
          <w:sz w:val="20"/>
          <w:szCs w:val="20"/>
        </w:rPr>
        <w:t>Publications and Authorship</w:t>
      </w:r>
      <w:r w:rsidRPr="00D11A97">
        <w:rPr>
          <w:rFonts w:ascii="Century Gothic" w:hAnsi="Century Gothic" w:cs="Arial"/>
          <w:sz w:val="20"/>
          <w:szCs w:val="20"/>
        </w:rPr>
        <w:t xml:space="preserve"> </w:t>
      </w:r>
    </w:p>
    <w:p w:rsidR="00990B5D" w:rsidRPr="00D11A97" w:rsidRDefault="00990B5D" w:rsidP="00990B5D">
      <w:pPr>
        <w:numPr>
          <w:ilvl w:val="0"/>
          <w:numId w:val="3"/>
        </w:numPr>
        <w:spacing w:before="240" w:after="120"/>
        <w:rPr>
          <w:rFonts w:ascii="Century Gothic" w:hAnsi="Century Gothic" w:cs="Arial"/>
          <w:sz w:val="20"/>
          <w:szCs w:val="20"/>
        </w:rPr>
      </w:pPr>
      <w:r w:rsidRPr="00F65C93">
        <w:rPr>
          <w:rFonts w:ascii="Century Gothic" w:hAnsi="Century Gothic" w:cs="Arial"/>
          <w:sz w:val="20"/>
          <w:szCs w:val="20"/>
        </w:rPr>
        <w:t>New Project Proposals</w:t>
      </w:r>
      <w:r w:rsidRPr="00D11A97">
        <w:rPr>
          <w:rFonts w:ascii="Century Gothic" w:hAnsi="Century Gothic" w:cs="Arial"/>
          <w:sz w:val="20"/>
          <w:szCs w:val="20"/>
        </w:rPr>
        <w:t xml:space="preserve"> </w:t>
      </w:r>
    </w:p>
    <w:p w:rsidR="00DF6CAB" w:rsidRPr="00F65C93" w:rsidRDefault="00F65C93" w:rsidP="000C1955">
      <w:pPr>
        <w:spacing w:before="240" w:after="120"/>
        <w:rPr>
          <w:rFonts w:ascii="Century Gothic" w:hAnsi="Century Gothic" w:cs="Arial"/>
          <w:sz w:val="20"/>
          <w:szCs w:val="20"/>
        </w:rPr>
      </w:pPr>
      <w:bookmarkStart w:id="8" w:name="More_PolicyTopics"/>
      <w:bookmarkStart w:id="9" w:name="Updates_Feedback"/>
      <w:bookmarkEnd w:id="8"/>
      <w:bookmarkEnd w:id="9"/>
      <w:r w:rsidRPr="00F65C93">
        <w:rPr>
          <w:rFonts w:ascii="Century Gothic" w:hAnsi="Century Gothic" w:cs="Arial"/>
          <w:sz w:val="20"/>
          <w:szCs w:val="20"/>
        </w:rPr>
        <w:lastRenderedPageBreak/>
        <w:t xml:space="preserve">Find them under Tools &amp; Materials | Managing &amp; Closing </w:t>
      </w:r>
      <w:proofErr w:type="gramStart"/>
      <w:r w:rsidRPr="00F65C93">
        <w:rPr>
          <w:rFonts w:ascii="Century Gothic" w:hAnsi="Century Gothic" w:cs="Arial"/>
          <w:sz w:val="20"/>
          <w:szCs w:val="20"/>
        </w:rPr>
        <w:t>Out</w:t>
      </w:r>
      <w:proofErr w:type="gramEnd"/>
      <w:r w:rsidRPr="00F65C93">
        <w:rPr>
          <w:rFonts w:ascii="Century Gothic" w:hAnsi="Century Gothic" w:cs="Arial"/>
          <w:sz w:val="20"/>
          <w:szCs w:val="20"/>
        </w:rPr>
        <w:t xml:space="preserve"> Projects at </w:t>
      </w:r>
      <w:hyperlink r:id="rId11" w:history="1">
        <w:r w:rsidRPr="00F65C93">
          <w:rPr>
            <w:rStyle w:val="Hyperlink"/>
            <w:rFonts w:ascii="Century Gothic" w:hAnsi="Century Gothic" w:cs="Arial"/>
            <w:sz w:val="20"/>
            <w:szCs w:val="20"/>
          </w:rPr>
          <w:t>www.hcsrn.org</w:t>
        </w:r>
      </w:hyperlink>
      <w:r w:rsidRPr="00F65C93">
        <w:rPr>
          <w:rFonts w:ascii="Century Gothic" w:hAnsi="Century Gothic" w:cs="Arial"/>
          <w:sz w:val="20"/>
          <w:szCs w:val="20"/>
        </w:rPr>
        <w:t xml:space="preserve">. </w:t>
      </w:r>
    </w:p>
    <w:p w:rsidR="000C1955" w:rsidRPr="00D11A97" w:rsidRDefault="008D7E5B" w:rsidP="000C1955">
      <w:pPr>
        <w:spacing w:before="240" w:after="120"/>
        <w:rPr>
          <w:rFonts w:ascii="Century Gothic" w:hAnsi="Century Gothic" w:cs="Arial"/>
          <w:b/>
          <w:sz w:val="20"/>
          <w:szCs w:val="20"/>
        </w:rPr>
      </w:pPr>
      <w:r w:rsidRPr="00D11A97">
        <w:rPr>
          <w:rFonts w:ascii="Century Gothic" w:hAnsi="Century Gothic" w:cs="Arial"/>
          <w:b/>
          <w:sz w:val="20"/>
          <w:szCs w:val="20"/>
        </w:rPr>
        <w:t xml:space="preserve">Submitting </w:t>
      </w:r>
      <w:r w:rsidR="000C1955" w:rsidRPr="00D11A97">
        <w:rPr>
          <w:rFonts w:ascii="Century Gothic" w:hAnsi="Century Gothic" w:cs="Arial"/>
          <w:b/>
          <w:sz w:val="20"/>
          <w:szCs w:val="20"/>
        </w:rPr>
        <w:t>Updates &amp; Feedback</w:t>
      </w:r>
    </w:p>
    <w:p w:rsidR="000C1955" w:rsidRPr="00D11A97" w:rsidRDefault="000C1955" w:rsidP="000C1955">
      <w:pPr>
        <w:spacing w:before="240" w:after="120"/>
        <w:rPr>
          <w:rFonts w:ascii="Century Gothic" w:hAnsi="Century Gothic" w:cs="Arial"/>
          <w:sz w:val="20"/>
          <w:szCs w:val="20"/>
        </w:rPr>
      </w:pPr>
      <w:r w:rsidRPr="00D11A97">
        <w:rPr>
          <w:rFonts w:ascii="Century Gothic" w:hAnsi="Century Gothic" w:cs="Arial"/>
          <w:sz w:val="20"/>
          <w:szCs w:val="20"/>
        </w:rPr>
        <w:t xml:space="preserve">This is a </w:t>
      </w:r>
      <w:r w:rsidR="008724B0" w:rsidRPr="00D11A97">
        <w:rPr>
          <w:rFonts w:ascii="Century Gothic" w:hAnsi="Century Gothic" w:cs="Arial"/>
          <w:sz w:val="20"/>
          <w:szCs w:val="20"/>
        </w:rPr>
        <w:t>dynamic</w:t>
      </w:r>
      <w:r w:rsidR="001E3301" w:rsidRPr="00D11A97">
        <w:rPr>
          <w:rFonts w:ascii="Century Gothic" w:hAnsi="Century Gothic" w:cs="Arial"/>
          <w:sz w:val="20"/>
          <w:szCs w:val="20"/>
        </w:rPr>
        <w:t>, living</w:t>
      </w:r>
      <w:r w:rsidRPr="00D11A97">
        <w:rPr>
          <w:rFonts w:ascii="Century Gothic" w:hAnsi="Century Gothic" w:cs="Arial"/>
          <w:sz w:val="20"/>
          <w:szCs w:val="20"/>
        </w:rPr>
        <w:t xml:space="preserve"> document. Additional best practices </w:t>
      </w:r>
      <w:r w:rsidR="00D93354" w:rsidRPr="00D11A97">
        <w:rPr>
          <w:rFonts w:ascii="Century Gothic" w:hAnsi="Century Gothic" w:cs="Arial"/>
          <w:sz w:val="20"/>
          <w:szCs w:val="20"/>
        </w:rPr>
        <w:t xml:space="preserve">and resources </w:t>
      </w:r>
      <w:r w:rsidRPr="00D11A97">
        <w:rPr>
          <w:rFonts w:ascii="Century Gothic" w:hAnsi="Century Gothic" w:cs="Arial"/>
          <w:sz w:val="20"/>
          <w:szCs w:val="20"/>
        </w:rPr>
        <w:t xml:space="preserve">can be added </w:t>
      </w:r>
      <w:r w:rsidR="00D93354" w:rsidRPr="00D11A97">
        <w:rPr>
          <w:rFonts w:ascii="Century Gothic" w:hAnsi="Century Gothic" w:cs="Arial"/>
          <w:sz w:val="20"/>
          <w:szCs w:val="20"/>
        </w:rPr>
        <w:t>over time</w:t>
      </w:r>
      <w:r w:rsidRPr="00D11A97">
        <w:rPr>
          <w:rFonts w:ascii="Century Gothic" w:hAnsi="Century Gothic" w:cs="Arial"/>
          <w:sz w:val="20"/>
          <w:szCs w:val="20"/>
        </w:rPr>
        <w:t xml:space="preserve">. </w:t>
      </w:r>
    </w:p>
    <w:p w:rsidR="000C1955" w:rsidRPr="00D11A97" w:rsidRDefault="000C1955" w:rsidP="000C1955">
      <w:pPr>
        <w:spacing w:before="240" w:after="120"/>
        <w:rPr>
          <w:rFonts w:ascii="Century Gothic" w:hAnsi="Century Gothic" w:cs="Arial"/>
          <w:sz w:val="20"/>
          <w:szCs w:val="20"/>
        </w:rPr>
      </w:pPr>
      <w:r w:rsidRPr="00D11A97">
        <w:rPr>
          <w:rFonts w:ascii="Century Gothic" w:hAnsi="Century Gothic" w:cs="Arial"/>
          <w:sz w:val="20"/>
          <w:szCs w:val="20"/>
        </w:rPr>
        <w:t>To provide an updated project policy</w:t>
      </w:r>
      <w:r w:rsidR="00D93354" w:rsidRPr="00D11A97">
        <w:rPr>
          <w:rFonts w:ascii="Century Gothic" w:hAnsi="Century Gothic" w:cs="Arial"/>
          <w:sz w:val="20"/>
          <w:szCs w:val="20"/>
        </w:rPr>
        <w:t>,</w:t>
      </w:r>
      <w:r w:rsidRPr="00D11A97">
        <w:rPr>
          <w:rFonts w:ascii="Century Gothic" w:hAnsi="Century Gothic" w:cs="Arial"/>
          <w:sz w:val="20"/>
          <w:szCs w:val="20"/>
        </w:rPr>
        <w:t xml:space="preserve"> submit a new </w:t>
      </w:r>
      <w:r w:rsidR="00D93354" w:rsidRPr="00D11A97">
        <w:rPr>
          <w:rFonts w:ascii="Century Gothic" w:hAnsi="Century Gothic" w:cs="Arial"/>
          <w:sz w:val="20"/>
          <w:szCs w:val="20"/>
        </w:rPr>
        <w:t xml:space="preserve">policy </w:t>
      </w:r>
      <w:r w:rsidRPr="00D11A97">
        <w:rPr>
          <w:rFonts w:ascii="Century Gothic" w:hAnsi="Century Gothic" w:cs="Arial"/>
          <w:sz w:val="20"/>
          <w:szCs w:val="20"/>
        </w:rPr>
        <w:t xml:space="preserve">for </w:t>
      </w:r>
      <w:r w:rsidR="00D93354" w:rsidRPr="00D11A97">
        <w:rPr>
          <w:rFonts w:ascii="Century Gothic" w:hAnsi="Century Gothic" w:cs="Arial"/>
          <w:sz w:val="20"/>
          <w:szCs w:val="20"/>
        </w:rPr>
        <w:t xml:space="preserve">the </w:t>
      </w:r>
      <w:r w:rsidRPr="00D11A97">
        <w:rPr>
          <w:rFonts w:ascii="Century Gothic" w:hAnsi="Century Gothic" w:cs="Arial"/>
          <w:sz w:val="20"/>
          <w:szCs w:val="20"/>
        </w:rPr>
        <w:t xml:space="preserve">repository, share a best practice, ask questions or provide feedback, contact: </w:t>
      </w:r>
    </w:p>
    <w:p w:rsidR="000C1955" w:rsidRPr="00D11A97" w:rsidRDefault="000C1955" w:rsidP="000C1955">
      <w:pPr>
        <w:spacing w:before="240" w:after="120"/>
        <w:ind w:left="720"/>
        <w:rPr>
          <w:rFonts w:ascii="Century Gothic" w:hAnsi="Century Gothic" w:cs="Arial"/>
          <w:sz w:val="20"/>
          <w:szCs w:val="20"/>
        </w:rPr>
      </w:pPr>
      <w:r w:rsidRPr="00D11A97">
        <w:rPr>
          <w:rFonts w:ascii="Century Gothic" w:hAnsi="Century Gothic" w:cs="Arial"/>
          <w:sz w:val="20"/>
          <w:szCs w:val="20"/>
        </w:rPr>
        <w:t xml:space="preserve">Ella Thompson, </w:t>
      </w:r>
      <w:r w:rsidR="00D11A97" w:rsidRPr="00D11A97">
        <w:rPr>
          <w:rFonts w:ascii="Century Gothic" w:hAnsi="Century Gothic" w:cs="Arial"/>
          <w:sz w:val="20"/>
          <w:szCs w:val="20"/>
        </w:rPr>
        <w:t>HCSRN</w:t>
      </w:r>
      <w:r w:rsidRPr="00D11A97">
        <w:rPr>
          <w:rFonts w:ascii="Century Gothic" w:hAnsi="Century Gothic" w:cs="Arial"/>
          <w:sz w:val="20"/>
          <w:szCs w:val="20"/>
        </w:rPr>
        <w:t xml:space="preserve"> </w:t>
      </w:r>
      <w:r w:rsidR="00990B5D" w:rsidRPr="00D11A97">
        <w:rPr>
          <w:rFonts w:ascii="Century Gothic" w:hAnsi="Century Gothic" w:cs="Arial"/>
          <w:sz w:val="20"/>
          <w:szCs w:val="20"/>
        </w:rPr>
        <w:t>Manager</w:t>
      </w:r>
      <w:r w:rsidRPr="00D11A97">
        <w:rPr>
          <w:rFonts w:ascii="Century Gothic" w:hAnsi="Century Gothic" w:cs="Arial"/>
          <w:sz w:val="20"/>
          <w:szCs w:val="20"/>
        </w:rPr>
        <w:br/>
      </w:r>
      <w:proofErr w:type="gramStart"/>
      <w:r w:rsidRPr="00D11A97">
        <w:rPr>
          <w:rFonts w:ascii="Century Gothic" w:hAnsi="Century Gothic" w:cs="Arial"/>
          <w:sz w:val="20"/>
          <w:szCs w:val="20"/>
        </w:rPr>
        <w:t>email</w:t>
      </w:r>
      <w:proofErr w:type="gramEnd"/>
      <w:r w:rsidRPr="00D11A97">
        <w:rPr>
          <w:rFonts w:ascii="Century Gothic" w:hAnsi="Century Gothic" w:cs="Arial"/>
          <w:sz w:val="20"/>
          <w:szCs w:val="20"/>
        </w:rPr>
        <w:t xml:space="preserve">: </w:t>
      </w:r>
      <w:hyperlink r:id="rId12" w:history="1">
        <w:r w:rsidRPr="00D11A97">
          <w:rPr>
            <w:rStyle w:val="Hyperlink"/>
            <w:rFonts w:ascii="Century Gothic" w:hAnsi="Century Gothic" w:cs="Arial"/>
            <w:sz w:val="20"/>
            <w:szCs w:val="20"/>
          </w:rPr>
          <w:t>thompson.e@ghc.org</w:t>
        </w:r>
      </w:hyperlink>
      <w:r w:rsidRPr="00D11A97">
        <w:rPr>
          <w:rFonts w:ascii="Century Gothic" w:hAnsi="Century Gothic" w:cs="Arial"/>
          <w:sz w:val="20"/>
          <w:szCs w:val="20"/>
        </w:rPr>
        <w:br/>
        <w:t>phone: 206.442.5211</w:t>
      </w:r>
    </w:p>
    <w:p w:rsidR="000C1955" w:rsidRPr="00D11A97" w:rsidRDefault="000C1955" w:rsidP="000C1955">
      <w:pPr>
        <w:spacing w:before="240" w:after="120"/>
        <w:rPr>
          <w:rFonts w:ascii="Century Gothic" w:hAnsi="Century Gothic" w:cs="Arial"/>
          <w:sz w:val="20"/>
          <w:szCs w:val="20"/>
        </w:rPr>
      </w:pPr>
    </w:p>
    <w:p w:rsidR="0029339F" w:rsidRPr="00D11A97" w:rsidRDefault="0029339F" w:rsidP="00552978">
      <w:pPr>
        <w:spacing w:before="120" w:after="120"/>
        <w:rPr>
          <w:rFonts w:ascii="Century Gothic" w:hAnsi="Century Gothic" w:cs="Arial"/>
          <w:sz w:val="20"/>
          <w:szCs w:val="20"/>
        </w:rPr>
      </w:pPr>
      <w:bookmarkStart w:id="10" w:name="_GoBack"/>
      <w:bookmarkEnd w:id="10"/>
    </w:p>
    <w:sectPr w:rsidR="0029339F" w:rsidRPr="00D11A97" w:rsidSect="00DC19C8">
      <w:head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52" w:rsidRDefault="00165552">
      <w:r>
        <w:separator/>
      </w:r>
    </w:p>
  </w:endnote>
  <w:endnote w:type="continuationSeparator" w:id="0">
    <w:p w:rsidR="00165552" w:rsidRDefault="001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52" w:rsidRDefault="00165552">
      <w:r>
        <w:separator/>
      </w:r>
    </w:p>
  </w:footnote>
  <w:footnote w:type="continuationSeparator" w:id="0">
    <w:p w:rsidR="00165552" w:rsidRDefault="00165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3F" w:rsidRDefault="00D11A97">
    <w:pPr>
      <w:pStyle w:val="Header"/>
      <w:rPr>
        <w:rFonts w:ascii="Arial" w:hAnsi="Arial" w:cs="Arial"/>
        <w:b/>
        <w:noProof/>
        <w:sz w:val="22"/>
        <w:szCs w:val="22"/>
      </w:rPr>
    </w:pPr>
    <w:r>
      <w:rPr>
        <w:rFonts w:ascii="Arial" w:hAnsi="Arial" w:cs="Arial"/>
        <w:b/>
        <w:noProof/>
        <w:sz w:val="22"/>
        <w:szCs w:val="22"/>
      </w:rPr>
      <w:drawing>
        <wp:inline distT="0" distB="0" distL="0" distR="0" wp14:anchorId="16037AB6" wp14:editId="1E8763CC">
          <wp:extent cx="1521619" cy="5486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SRN logo 300dpi.jpg"/>
                  <pic:cNvPicPr/>
                </pic:nvPicPr>
                <pic:blipFill rotWithShape="1">
                  <a:blip r:embed="rId1">
                    <a:extLst>
                      <a:ext uri="{28A0092B-C50C-407E-A947-70E740481C1C}">
                        <a14:useLocalDpi xmlns:a14="http://schemas.microsoft.com/office/drawing/2010/main" val="0"/>
                      </a:ext>
                    </a:extLst>
                  </a:blip>
                  <a:srcRect t="15396" b="14221"/>
                  <a:stretch/>
                </pic:blipFill>
                <pic:spPr bwMode="auto">
                  <a:xfrm>
                    <a:off x="0" y="0"/>
                    <a:ext cx="1521619" cy="548640"/>
                  </a:xfrm>
                  <a:prstGeom prst="rect">
                    <a:avLst/>
                  </a:prstGeom>
                  <a:ln>
                    <a:noFill/>
                  </a:ln>
                  <a:extLst>
                    <a:ext uri="{53640926-AAD7-44D8-BBD7-CCE9431645EC}">
                      <a14:shadowObscured xmlns:a14="http://schemas.microsoft.com/office/drawing/2010/main"/>
                    </a:ext>
                  </a:extLst>
                </pic:spPr>
              </pic:pic>
            </a:graphicData>
          </a:graphic>
        </wp:inline>
      </w:drawing>
    </w:r>
  </w:p>
  <w:p w:rsidR="00D11A97" w:rsidRPr="00FC14C8" w:rsidRDefault="00D11A97">
    <w:pPr>
      <w:pStyle w:val="Head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84F"/>
    <w:multiLevelType w:val="hybridMultilevel"/>
    <w:tmpl w:val="997CA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870FE1"/>
    <w:multiLevelType w:val="hybridMultilevel"/>
    <w:tmpl w:val="320680B6"/>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D1528"/>
    <w:multiLevelType w:val="hybridMultilevel"/>
    <w:tmpl w:val="E9B45228"/>
    <w:lvl w:ilvl="0" w:tplc="CCD81A94">
      <w:start w:val="1"/>
      <w:numFmt w:val="bullet"/>
      <w:pStyle w:val="Policy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DC361A"/>
    <w:multiLevelType w:val="hybridMultilevel"/>
    <w:tmpl w:val="19F40E62"/>
    <w:lvl w:ilvl="0" w:tplc="52F4CF10">
      <w:start w:val="19"/>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8507E5"/>
    <w:multiLevelType w:val="hybridMultilevel"/>
    <w:tmpl w:val="123E3B08"/>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2E4FA0"/>
    <w:multiLevelType w:val="hybridMultilevel"/>
    <w:tmpl w:val="FFC86A14"/>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28173E"/>
    <w:multiLevelType w:val="hybridMultilevel"/>
    <w:tmpl w:val="974E0786"/>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FF1CB4"/>
    <w:multiLevelType w:val="hybridMultilevel"/>
    <w:tmpl w:val="B40EF232"/>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767113"/>
    <w:multiLevelType w:val="hybridMultilevel"/>
    <w:tmpl w:val="4BC2E9C8"/>
    <w:lvl w:ilvl="0" w:tplc="52F4CF10">
      <w:start w:val="19"/>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D7674E"/>
    <w:multiLevelType w:val="hybridMultilevel"/>
    <w:tmpl w:val="B8007CC2"/>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D86F7D"/>
    <w:multiLevelType w:val="hybridMultilevel"/>
    <w:tmpl w:val="139478C0"/>
    <w:lvl w:ilvl="0" w:tplc="A846165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6108E8"/>
    <w:multiLevelType w:val="hybridMultilevel"/>
    <w:tmpl w:val="7E46C0B4"/>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522C71"/>
    <w:multiLevelType w:val="multilevel"/>
    <w:tmpl w:val="12FCCB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F3D2EA8"/>
    <w:multiLevelType w:val="hybridMultilevel"/>
    <w:tmpl w:val="31DADC98"/>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B57A66"/>
    <w:multiLevelType w:val="hybridMultilevel"/>
    <w:tmpl w:val="2664517A"/>
    <w:lvl w:ilvl="0" w:tplc="0ACC9424">
      <w:start w:val="1"/>
      <w:numFmt w:val="bullet"/>
      <w:lvlText w:val=""/>
      <w:lvlJc w:val="left"/>
      <w:pPr>
        <w:tabs>
          <w:tab w:val="num" w:pos="840"/>
        </w:tabs>
        <w:ind w:left="8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6F6589"/>
    <w:multiLevelType w:val="hybridMultilevel"/>
    <w:tmpl w:val="E5DEFD36"/>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E7023A"/>
    <w:multiLevelType w:val="hybridMultilevel"/>
    <w:tmpl w:val="578AC0DA"/>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68251A"/>
    <w:multiLevelType w:val="hybridMultilevel"/>
    <w:tmpl w:val="6142BD7A"/>
    <w:lvl w:ilvl="0" w:tplc="A846165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203DC7"/>
    <w:multiLevelType w:val="hybridMultilevel"/>
    <w:tmpl w:val="956E24AA"/>
    <w:lvl w:ilvl="0" w:tplc="A846165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C06355F"/>
    <w:multiLevelType w:val="hybridMultilevel"/>
    <w:tmpl w:val="7B8E51F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10"/>
  </w:num>
  <w:num w:numId="3">
    <w:abstractNumId w:val="4"/>
  </w:num>
  <w:num w:numId="4">
    <w:abstractNumId w:val="3"/>
  </w:num>
  <w:num w:numId="5">
    <w:abstractNumId w:val="1"/>
  </w:num>
  <w:num w:numId="6">
    <w:abstractNumId w:val="19"/>
  </w:num>
  <w:num w:numId="7">
    <w:abstractNumId w:val="9"/>
  </w:num>
  <w:num w:numId="8">
    <w:abstractNumId w:val="17"/>
  </w:num>
  <w:num w:numId="9">
    <w:abstractNumId w:val="18"/>
  </w:num>
  <w:num w:numId="10">
    <w:abstractNumId w:val="6"/>
  </w:num>
  <w:num w:numId="11">
    <w:abstractNumId w:val="16"/>
  </w:num>
  <w:num w:numId="12">
    <w:abstractNumId w:val="15"/>
  </w:num>
  <w:num w:numId="13">
    <w:abstractNumId w:val="13"/>
  </w:num>
  <w:num w:numId="14">
    <w:abstractNumId w:val="11"/>
  </w:num>
  <w:num w:numId="15">
    <w:abstractNumId w:val="7"/>
  </w:num>
  <w:num w:numId="16">
    <w:abstractNumId w:val="5"/>
  </w:num>
  <w:num w:numId="17">
    <w:abstractNumId w:val="12"/>
  </w:num>
  <w:num w:numId="18">
    <w:abstractNumId w:val="14"/>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Best_Practices" w:val="Empty"/>
    <w:docVar w:name="Best_Practices_Leads" w:val="Empty"/>
    <w:docVar w:name="External_Links" w:val="Empty"/>
    <w:docVar w:name="Gaps_Pitfalls" w:val="Empty"/>
    <w:docVar w:name="More_HMORNResources" w:val="Empty"/>
    <w:docVar w:name="More_PolicyTopics" w:val="Empty"/>
    <w:docVar w:name="Other_Considerations" w:val="Empty"/>
    <w:docVar w:name="Pitfalls" w:val="Empty"/>
    <w:docVar w:name="Repository" w:val="Empty"/>
    <w:docVar w:name="Scope_Purpose" w:val="Empty"/>
    <w:docVar w:name="Topics_Sections" w:val="Empty"/>
    <w:docVar w:name="Updates_Feedback" w:val="Empty"/>
  </w:docVars>
  <w:rsids>
    <w:rsidRoot w:val="00FC14C8"/>
    <w:rsid w:val="00001667"/>
    <w:rsid w:val="00012376"/>
    <w:rsid w:val="0002464F"/>
    <w:rsid w:val="00065269"/>
    <w:rsid w:val="000674E0"/>
    <w:rsid w:val="00072AFE"/>
    <w:rsid w:val="00073610"/>
    <w:rsid w:val="00084D0F"/>
    <w:rsid w:val="00090BE8"/>
    <w:rsid w:val="000919BC"/>
    <w:rsid w:val="000B06CB"/>
    <w:rsid w:val="000B1593"/>
    <w:rsid w:val="000B22F7"/>
    <w:rsid w:val="000B640C"/>
    <w:rsid w:val="000C1955"/>
    <w:rsid w:val="000D0BCB"/>
    <w:rsid w:val="000D6CDB"/>
    <w:rsid w:val="000E138A"/>
    <w:rsid w:val="000E205C"/>
    <w:rsid w:val="000F574B"/>
    <w:rsid w:val="00104AFA"/>
    <w:rsid w:val="00113481"/>
    <w:rsid w:val="00115F25"/>
    <w:rsid w:val="001212B8"/>
    <w:rsid w:val="001344F7"/>
    <w:rsid w:val="00142718"/>
    <w:rsid w:val="00144EEB"/>
    <w:rsid w:val="00146BB2"/>
    <w:rsid w:val="00165552"/>
    <w:rsid w:val="00166ECF"/>
    <w:rsid w:val="001674D7"/>
    <w:rsid w:val="00176FBF"/>
    <w:rsid w:val="0018081A"/>
    <w:rsid w:val="001828D8"/>
    <w:rsid w:val="0018317F"/>
    <w:rsid w:val="00187712"/>
    <w:rsid w:val="001910C4"/>
    <w:rsid w:val="001945C1"/>
    <w:rsid w:val="001956EA"/>
    <w:rsid w:val="00197402"/>
    <w:rsid w:val="001A5B75"/>
    <w:rsid w:val="001B6823"/>
    <w:rsid w:val="001C0D12"/>
    <w:rsid w:val="001C1C58"/>
    <w:rsid w:val="001C69A7"/>
    <w:rsid w:val="001C6B9C"/>
    <w:rsid w:val="001C6EC2"/>
    <w:rsid w:val="001D1EE8"/>
    <w:rsid w:val="001D2243"/>
    <w:rsid w:val="001D3385"/>
    <w:rsid w:val="001E3301"/>
    <w:rsid w:val="001E58CB"/>
    <w:rsid w:val="001F3B42"/>
    <w:rsid w:val="001F6735"/>
    <w:rsid w:val="001F7A11"/>
    <w:rsid w:val="00231CE8"/>
    <w:rsid w:val="00236A97"/>
    <w:rsid w:val="00237780"/>
    <w:rsid w:val="00246C97"/>
    <w:rsid w:val="00263BEF"/>
    <w:rsid w:val="00270568"/>
    <w:rsid w:val="00271465"/>
    <w:rsid w:val="00271782"/>
    <w:rsid w:val="00272B86"/>
    <w:rsid w:val="00274C9C"/>
    <w:rsid w:val="00276D38"/>
    <w:rsid w:val="00292A87"/>
    <w:rsid w:val="0029339F"/>
    <w:rsid w:val="002950B3"/>
    <w:rsid w:val="002A0869"/>
    <w:rsid w:val="002A0A99"/>
    <w:rsid w:val="002B10B4"/>
    <w:rsid w:val="002B7B7C"/>
    <w:rsid w:val="002C2D22"/>
    <w:rsid w:val="002C4EAB"/>
    <w:rsid w:val="002D1719"/>
    <w:rsid w:val="002E1028"/>
    <w:rsid w:val="002E441C"/>
    <w:rsid w:val="002E7F8A"/>
    <w:rsid w:val="002E7FC3"/>
    <w:rsid w:val="002F26EF"/>
    <w:rsid w:val="002F5889"/>
    <w:rsid w:val="00314F15"/>
    <w:rsid w:val="00324819"/>
    <w:rsid w:val="00327EEA"/>
    <w:rsid w:val="00331BCE"/>
    <w:rsid w:val="00342DEC"/>
    <w:rsid w:val="003579E5"/>
    <w:rsid w:val="00364E71"/>
    <w:rsid w:val="00371418"/>
    <w:rsid w:val="00384A4D"/>
    <w:rsid w:val="00384C06"/>
    <w:rsid w:val="003A07C0"/>
    <w:rsid w:val="003A5F59"/>
    <w:rsid w:val="003A73D1"/>
    <w:rsid w:val="003B394F"/>
    <w:rsid w:val="003C1072"/>
    <w:rsid w:val="003D37AB"/>
    <w:rsid w:val="003D5140"/>
    <w:rsid w:val="003D673B"/>
    <w:rsid w:val="003E6923"/>
    <w:rsid w:val="004079B2"/>
    <w:rsid w:val="004155C1"/>
    <w:rsid w:val="00415E7B"/>
    <w:rsid w:val="00423277"/>
    <w:rsid w:val="00425CF9"/>
    <w:rsid w:val="00447D79"/>
    <w:rsid w:val="0045064D"/>
    <w:rsid w:val="00451AAD"/>
    <w:rsid w:val="00456594"/>
    <w:rsid w:val="004652EC"/>
    <w:rsid w:val="004712BE"/>
    <w:rsid w:val="00474A67"/>
    <w:rsid w:val="004756C2"/>
    <w:rsid w:val="004900C6"/>
    <w:rsid w:val="004A19E4"/>
    <w:rsid w:val="004B1370"/>
    <w:rsid w:val="004C30E9"/>
    <w:rsid w:val="004D4252"/>
    <w:rsid w:val="004D73E2"/>
    <w:rsid w:val="004F38E2"/>
    <w:rsid w:val="00504A57"/>
    <w:rsid w:val="00507A2B"/>
    <w:rsid w:val="00512016"/>
    <w:rsid w:val="00520E43"/>
    <w:rsid w:val="005251AB"/>
    <w:rsid w:val="00531F02"/>
    <w:rsid w:val="00540D46"/>
    <w:rsid w:val="00543100"/>
    <w:rsid w:val="00552266"/>
    <w:rsid w:val="00552978"/>
    <w:rsid w:val="00564638"/>
    <w:rsid w:val="00570961"/>
    <w:rsid w:val="00583CF9"/>
    <w:rsid w:val="00585F66"/>
    <w:rsid w:val="00587AA1"/>
    <w:rsid w:val="005921A9"/>
    <w:rsid w:val="00592EC9"/>
    <w:rsid w:val="00597E77"/>
    <w:rsid w:val="005A267D"/>
    <w:rsid w:val="005A6009"/>
    <w:rsid w:val="005A784D"/>
    <w:rsid w:val="005B1CE5"/>
    <w:rsid w:val="005B3540"/>
    <w:rsid w:val="005B59D3"/>
    <w:rsid w:val="005C5F7F"/>
    <w:rsid w:val="005E097E"/>
    <w:rsid w:val="005E5714"/>
    <w:rsid w:val="005F24FD"/>
    <w:rsid w:val="005F48AF"/>
    <w:rsid w:val="005F5CC1"/>
    <w:rsid w:val="00601905"/>
    <w:rsid w:val="00602ECC"/>
    <w:rsid w:val="00603942"/>
    <w:rsid w:val="00606287"/>
    <w:rsid w:val="00611B8C"/>
    <w:rsid w:val="00626E66"/>
    <w:rsid w:val="00636DA7"/>
    <w:rsid w:val="00641ADE"/>
    <w:rsid w:val="00643278"/>
    <w:rsid w:val="0064595E"/>
    <w:rsid w:val="006543C0"/>
    <w:rsid w:val="00655A99"/>
    <w:rsid w:val="006562F8"/>
    <w:rsid w:val="00660D20"/>
    <w:rsid w:val="006628C8"/>
    <w:rsid w:val="00663D20"/>
    <w:rsid w:val="00663DAF"/>
    <w:rsid w:val="006668E1"/>
    <w:rsid w:val="00671F3A"/>
    <w:rsid w:val="00680BB0"/>
    <w:rsid w:val="0068288C"/>
    <w:rsid w:val="006A5BA3"/>
    <w:rsid w:val="006A7155"/>
    <w:rsid w:val="006C03AA"/>
    <w:rsid w:val="006C2A43"/>
    <w:rsid w:val="006F2ECD"/>
    <w:rsid w:val="0070445E"/>
    <w:rsid w:val="00711C28"/>
    <w:rsid w:val="00717EF9"/>
    <w:rsid w:val="00717FD6"/>
    <w:rsid w:val="00721E25"/>
    <w:rsid w:val="0073553A"/>
    <w:rsid w:val="007475CE"/>
    <w:rsid w:val="00750F80"/>
    <w:rsid w:val="007519A6"/>
    <w:rsid w:val="00764346"/>
    <w:rsid w:val="007651F5"/>
    <w:rsid w:val="00765D5F"/>
    <w:rsid w:val="00783D58"/>
    <w:rsid w:val="00796C59"/>
    <w:rsid w:val="007A6702"/>
    <w:rsid w:val="007B3377"/>
    <w:rsid w:val="007B5B2B"/>
    <w:rsid w:val="007C50D9"/>
    <w:rsid w:val="007C58C9"/>
    <w:rsid w:val="007E44A3"/>
    <w:rsid w:val="007E44A5"/>
    <w:rsid w:val="007F16A7"/>
    <w:rsid w:val="007F3064"/>
    <w:rsid w:val="0080214A"/>
    <w:rsid w:val="008043BE"/>
    <w:rsid w:val="00815E78"/>
    <w:rsid w:val="00817231"/>
    <w:rsid w:val="008319F9"/>
    <w:rsid w:val="00841391"/>
    <w:rsid w:val="00846641"/>
    <w:rsid w:val="0085397D"/>
    <w:rsid w:val="00855CF4"/>
    <w:rsid w:val="0086140B"/>
    <w:rsid w:val="00862283"/>
    <w:rsid w:val="008724B0"/>
    <w:rsid w:val="00872B57"/>
    <w:rsid w:val="0087333F"/>
    <w:rsid w:val="00891AAD"/>
    <w:rsid w:val="008A12AF"/>
    <w:rsid w:val="008A5194"/>
    <w:rsid w:val="008D5D63"/>
    <w:rsid w:val="008D7E5B"/>
    <w:rsid w:val="008F597C"/>
    <w:rsid w:val="009060A5"/>
    <w:rsid w:val="009147F3"/>
    <w:rsid w:val="00917262"/>
    <w:rsid w:val="0092419A"/>
    <w:rsid w:val="0093701D"/>
    <w:rsid w:val="0094490B"/>
    <w:rsid w:val="00945126"/>
    <w:rsid w:val="00946DE2"/>
    <w:rsid w:val="009757E9"/>
    <w:rsid w:val="0098024E"/>
    <w:rsid w:val="00990B5D"/>
    <w:rsid w:val="0099315F"/>
    <w:rsid w:val="0099390A"/>
    <w:rsid w:val="0099493D"/>
    <w:rsid w:val="009A23B2"/>
    <w:rsid w:val="009A6F55"/>
    <w:rsid w:val="009B446C"/>
    <w:rsid w:val="009B4B52"/>
    <w:rsid w:val="009C774F"/>
    <w:rsid w:val="009E3480"/>
    <w:rsid w:val="009E48B6"/>
    <w:rsid w:val="009F3F2D"/>
    <w:rsid w:val="009F55D4"/>
    <w:rsid w:val="00A21E5A"/>
    <w:rsid w:val="00A33291"/>
    <w:rsid w:val="00A34620"/>
    <w:rsid w:val="00A349AC"/>
    <w:rsid w:val="00A46AFC"/>
    <w:rsid w:val="00A47CAF"/>
    <w:rsid w:val="00A514E2"/>
    <w:rsid w:val="00A6169B"/>
    <w:rsid w:val="00A63DD8"/>
    <w:rsid w:val="00A64525"/>
    <w:rsid w:val="00A64F82"/>
    <w:rsid w:val="00A71588"/>
    <w:rsid w:val="00A77E57"/>
    <w:rsid w:val="00AA3B5B"/>
    <w:rsid w:val="00AB0AEE"/>
    <w:rsid w:val="00AB0F97"/>
    <w:rsid w:val="00AC0225"/>
    <w:rsid w:val="00AF1486"/>
    <w:rsid w:val="00AF64AE"/>
    <w:rsid w:val="00B00724"/>
    <w:rsid w:val="00B10328"/>
    <w:rsid w:val="00B16A2C"/>
    <w:rsid w:val="00B27D60"/>
    <w:rsid w:val="00B42DC4"/>
    <w:rsid w:val="00B4540B"/>
    <w:rsid w:val="00B5129A"/>
    <w:rsid w:val="00B761F9"/>
    <w:rsid w:val="00B76888"/>
    <w:rsid w:val="00B859EA"/>
    <w:rsid w:val="00B860D1"/>
    <w:rsid w:val="00B96B63"/>
    <w:rsid w:val="00BA230E"/>
    <w:rsid w:val="00BA3F5F"/>
    <w:rsid w:val="00BB0F09"/>
    <w:rsid w:val="00BD4334"/>
    <w:rsid w:val="00BD4808"/>
    <w:rsid w:val="00BE0D92"/>
    <w:rsid w:val="00BF6EC5"/>
    <w:rsid w:val="00C008D7"/>
    <w:rsid w:val="00C05F66"/>
    <w:rsid w:val="00C07F8C"/>
    <w:rsid w:val="00C11446"/>
    <w:rsid w:val="00C172A3"/>
    <w:rsid w:val="00C21B97"/>
    <w:rsid w:val="00C247F4"/>
    <w:rsid w:val="00C256D1"/>
    <w:rsid w:val="00C359C4"/>
    <w:rsid w:val="00C36CFB"/>
    <w:rsid w:val="00C4005C"/>
    <w:rsid w:val="00C400D4"/>
    <w:rsid w:val="00C41BD4"/>
    <w:rsid w:val="00C50BBB"/>
    <w:rsid w:val="00C521F2"/>
    <w:rsid w:val="00C574A9"/>
    <w:rsid w:val="00C7435A"/>
    <w:rsid w:val="00C74774"/>
    <w:rsid w:val="00C759DD"/>
    <w:rsid w:val="00C91177"/>
    <w:rsid w:val="00C94450"/>
    <w:rsid w:val="00C95E5A"/>
    <w:rsid w:val="00C96196"/>
    <w:rsid w:val="00CA102E"/>
    <w:rsid w:val="00CA5658"/>
    <w:rsid w:val="00CB0457"/>
    <w:rsid w:val="00CB31A2"/>
    <w:rsid w:val="00CC711D"/>
    <w:rsid w:val="00CD1517"/>
    <w:rsid w:val="00CD456E"/>
    <w:rsid w:val="00CD4AA5"/>
    <w:rsid w:val="00CE011A"/>
    <w:rsid w:val="00CE5AD6"/>
    <w:rsid w:val="00CE7F57"/>
    <w:rsid w:val="00D0562C"/>
    <w:rsid w:val="00D11A97"/>
    <w:rsid w:val="00D1411B"/>
    <w:rsid w:val="00D251C9"/>
    <w:rsid w:val="00D303B9"/>
    <w:rsid w:val="00D30C3F"/>
    <w:rsid w:val="00D31803"/>
    <w:rsid w:val="00D31E47"/>
    <w:rsid w:val="00D36BA1"/>
    <w:rsid w:val="00D401B2"/>
    <w:rsid w:val="00D42A93"/>
    <w:rsid w:val="00D57FAF"/>
    <w:rsid w:val="00D61333"/>
    <w:rsid w:val="00D621BC"/>
    <w:rsid w:val="00D637D0"/>
    <w:rsid w:val="00D72575"/>
    <w:rsid w:val="00D824E8"/>
    <w:rsid w:val="00D93354"/>
    <w:rsid w:val="00D96E42"/>
    <w:rsid w:val="00DA6B34"/>
    <w:rsid w:val="00DB5D3C"/>
    <w:rsid w:val="00DB759A"/>
    <w:rsid w:val="00DC0599"/>
    <w:rsid w:val="00DC19C8"/>
    <w:rsid w:val="00DC3F6E"/>
    <w:rsid w:val="00DD02A3"/>
    <w:rsid w:val="00DD050B"/>
    <w:rsid w:val="00DE5703"/>
    <w:rsid w:val="00DF6508"/>
    <w:rsid w:val="00DF6CAB"/>
    <w:rsid w:val="00DF6E96"/>
    <w:rsid w:val="00E12569"/>
    <w:rsid w:val="00E13DD5"/>
    <w:rsid w:val="00E31F57"/>
    <w:rsid w:val="00E322A8"/>
    <w:rsid w:val="00E35D28"/>
    <w:rsid w:val="00E44E2B"/>
    <w:rsid w:val="00E555D3"/>
    <w:rsid w:val="00E71CF9"/>
    <w:rsid w:val="00E763CC"/>
    <w:rsid w:val="00E82C4F"/>
    <w:rsid w:val="00E8486F"/>
    <w:rsid w:val="00E96F17"/>
    <w:rsid w:val="00EA1B31"/>
    <w:rsid w:val="00EA34F9"/>
    <w:rsid w:val="00EB27D0"/>
    <w:rsid w:val="00EC5DA5"/>
    <w:rsid w:val="00EE09CF"/>
    <w:rsid w:val="00EF4268"/>
    <w:rsid w:val="00EF6928"/>
    <w:rsid w:val="00F0051C"/>
    <w:rsid w:val="00F07A6F"/>
    <w:rsid w:val="00F122F9"/>
    <w:rsid w:val="00F16DB1"/>
    <w:rsid w:val="00F259EC"/>
    <w:rsid w:val="00F30F31"/>
    <w:rsid w:val="00F33568"/>
    <w:rsid w:val="00F35C0E"/>
    <w:rsid w:val="00F618AD"/>
    <w:rsid w:val="00F63877"/>
    <w:rsid w:val="00F63C1D"/>
    <w:rsid w:val="00F64C76"/>
    <w:rsid w:val="00F65C93"/>
    <w:rsid w:val="00F67A0A"/>
    <w:rsid w:val="00F71EFD"/>
    <w:rsid w:val="00F738F1"/>
    <w:rsid w:val="00F76688"/>
    <w:rsid w:val="00F813F5"/>
    <w:rsid w:val="00F81935"/>
    <w:rsid w:val="00F82B23"/>
    <w:rsid w:val="00FA7AD2"/>
    <w:rsid w:val="00FB21D4"/>
    <w:rsid w:val="00FB7ECF"/>
    <w:rsid w:val="00FC0D24"/>
    <w:rsid w:val="00FC14C8"/>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016"/>
    <w:rPr>
      <w:sz w:val="24"/>
      <w:szCs w:val="24"/>
    </w:rPr>
  </w:style>
  <w:style w:type="paragraph" w:styleId="Heading3">
    <w:name w:val="heading 3"/>
    <w:basedOn w:val="Normal"/>
    <w:next w:val="PolicyText"/>
    <w:link w:val="Heading3Char"/>
    <w:qFormat/>
    <w:rsid w:val="00F82B23"/>
    <w:pPr>
      <w:keepNext/>
      <w:spacing w:before="240" w:after="12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14C8"/>
    <w:pPr>
      <w:tabs>
        <w:tab w:val="center" w:pos="4320"/>
        <w:tab w:val="right" w:pos="8640"/>
      </w:tabs>
    </w:pPr>
  </w:style>
  <w:style w:type="paragraph" w:styleId="Footer">
    <w:name w:val="footer"/>
    <w:basedOn w:val="Normal"/>
    <w:rsid w:val="00FC14C8"/>
    <w:pPr>
      <w:tabs>
        <w:tab w:val="center" w:pos="4320"/>
        <w:tab w:val="right" w:pos="8640"/>
      </w:tabs>
    </w:pPr>
  </w:style>
  <w:style w:type="table" w:styleId="TableGrid">
    <w:name w:val="Table Grid"/>
    <w:basedOn w:val="TableNormal"/>
    <w:rsid w:val="00FC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14C8"/>
    <w:pPr>
      <w:spacing w:before="100" w:beforeAutospacing="1" w:after="100" w:afterAutospacing="1"/>
    </w:pPr>
    <w:rPr>
      <w:rFonts w:ascii="Arial" w:hAnsi="Arial"/>
      <w:sz w:val="14"/>
    </w:rPr>
  </w:style>
  <w:style w:type="character" w:styleId="Strong">
    <w:name w:val="Strong"/>
    <w:qFormat/>
    <w:rsid w:val="00FC14C8"/>
    <w:rPr>
      <w:b/>
      <w:bCs/>
    </w:rPr>
  </w:style>
  <w:style w:type="paragraph" w:customStyle="1" w:styleId="PolicyHeading">
    <w:name w:val="Policy Heading"/>
    <w:basedOn w:val="Normal"/>
    <w:link w:val="PolicyHeadingChar"/>
    <w:rsid w:val="00B00724"/>
    <w:pPr>
      <w:spacing w:before="240" w:after="120"/>
    </w:pPr>
    <w:rPr>
      <w:rFonts w:ascii="Arial" w:hAnsi="Arial" w:cs="Arial"/>
      <w:b/>
      <w:sz w:val="22"/>
      <w:szCs w:val="20"/>
    </w:rPr>
  </w:style>
  <w:style w:type="paragraph" w:customStyle="1" w:styleId="PolicyText">
    <w:name w:val="Policy Text"/>
    <w:basedOn w:val="PolicyHeading"/>
    <w:link w:val="PolicyTextChar"/>
    <w:rsid w:val="00B00724"/>
    <w:pPr>
      <w:spacing w:before="0" w:after="0"/>
    </w:pPr>
    <w:rPr>
      <w:b w:val="0"/>
      <w:sz w:val="20"/>
    </w:rPr>
  </w:style>
  <w:style w:type="paragraph" w:customStyle="1" w:styleId="RRHeading">
    <w:name w:val="R/R Heading"/>
    <w:basedOn w:val="Normal"/>
    <w:rsid w:val="007B5B2B"/>
    <w:pPr>
      <w:spacing w:before="360"/>
    </w:pPr>
    <w:rPr>
      <w:rFonts w:ascii="Arial" w:hAnsi="Arial"/>
      <w:b/>
      <w:bCs/>
      <w:sz w:val="20"/>
      <w:szCs w:val="20"/>
    </w:rPr>
  </w:style>
  <w:style w:type="paragraph" w:customStyle="1" w:styleId="Policybullet">
    <w:name w:val="Policy bullet"/>
    <w:basedOn w:val="Normal"/>
    <w:rsid w:val="00817231"/>
    <w:pPr>
      <w:numPr>
        <w:numId w:val="1"/>
      </w:numPr>
      <w:spacing w:before="120"/>
      <w:ind w:left="720"/>
    </w:pPr>
    <w:rPr>
      <w:rFonts w:ascii="Arial" w:hAnsi="Arial"/>
      <w:sz w:val="20"/>
      <w:szCs w:val="20"/>
    </w:rPr>
  </w:style>
  <w:style w:type="character" w:customStyle="1" w:styleId="PolicyHeadingChar">
    <w:name w:val="Policy Heading Char"/>
    <w:link w:val="PolicyHeading"/>
    <w:rsid w:val="00B00724"/>
    <w:rPr>
      <w:rFonts w:ascii="Arial" w:hAnsi="Arial" w:cs="Arial"/>
      <w:b/>
      <w:sz w:val="22"/>
      <w:lang w:val="en-US" w:eastAsia="en-US" w:bidi="ar-SA"/>
    </w:rPr>
  </w:style>
  <w:style w:type="character" w:customStyle="1" w:styleId="PolicyTextChar">
    <w:name w:val="Policy Text Char"/>
    <w:basedOn w:val="PolicyHeadingChar"/>
    <w:link w:val="PolicyText"/>
    <w:rsid w:val="00B00724"/>
    <w:rPr>
      <w:rFonts w:ascii="Arial" w:hAnsi="Arial" w:cs="Arial"/>
      <w:b/>
      <w:sz w:val="22"/>
      <w:lang w:val="en-US" w:eastAsia="en-US" w:bidi="ar-SA"/>
    </w:rPr>
  </w:style>
  <w:style w:type="paragraph" w:customStyle="1" w:styleId="PolicyQuestion">
    <w:name w:val="Policy Question"/>
    <w:basedOn w:val="PolicyText"/>
    <w:rsid w:val="00B00724"/>
    <w:pPr>
      <w:spacing w:before="120"/>
    </w:pPr>
    <w:rPr>
      <w:b/>
      <w:bCs/>
    </w:rPr>
  </w:style>
  <w:style w:type="paragraph" w:customStyle="1" w:styleId="PolicyAnswer">
    <w:name w:val="Policy Answer"/>
    <w:basedOn w:val="PolicyText"/>
    <w:rsid w:val="00B00724"/>
    <w:pPr>
      <w:ind w:left="360"/>
    </w:pPr>
    <w:rPr>
      <w:rFonts w:cs="Times New Roman"/>
    </w:rPr>
  </w:style>
  <w:style w:type="character" w:styleId="Hyperlink">
    <w:name w:val="Hyperlink"/>
    <w:rsid w:val="00F82B23"/>
    <w:rPr>
      <w:color w:val="0000FF"/>
      <w:u w:val="single"/>
    </w:rPr>
  </w:style>
  <w:style w:type="character" w:customStyle="1" w:styleId="Heading3Char">
    <w:name w:val="Heading 3 Char"/>
    <w:link w:val="Heading3"/>
    <w:rsid w:val="00F82B23"/>
    <w:rPr>
      <w:rFonts w:ascii="Arial" w:hAnsi="Arial" w:cs="Arial"/>
      <w:b/>
      <w:bCs/>
      <w:sz w:val="22"/>
      <w:szCs w:val="26"/>
      <w:lang w:val="en-US" w:eastAsia="en-US" w:bidi="ar-SA"/>
    </w:rPr>
  </w:style>
  <w:style w:type="paragraph" w:styleId="BalloonText">
    <w:name w:val="Balloon Text"/>
    <w:basedOn w:val="Normal"/>
    <w:semiHidden/>
    <w:rsid w:val="00655A99"/>
    <w:rPr>
      <w:rFonts w:ascii="Tahoma" w:hAnsi="Tahoma" w:cs="Tahoma"/>
      <w:sz w:val="16"/>
      <w:szCs w:val="16"/>
    </w:rPr>
  </w:style>
  <w:style w:type="character" w:styleId="CommentReference">
    <w:name w:val="annotation reference"/>
    <w:semiHidden/>
    <w:rsid w:val="002D1719"/>
    <w:rPr>
      <w:sz w:val="16"/>
      <w:szCs w:val="16"/>
    </w:rPr>
  </w:style>
  <w:style w:type="paragraph" w:styleId="CommentText">
    <w:name w:val="annotation text"/>
    <w:basedOn w:val="Normal"/>
    <w:semiHidden/>
    <w:rsid w:val="002D1719"/>
    <w:rPr>
      <w:sz w:val="20"/>
      <w:szCs w:val="20"/>
    </w:rPr>
  </w:style>
  <w:style w:type="paragraph" w:styleId="CommentSubject">
    <w:name w:val="annotation subject"/>
    <w:basedOn w:val="CommentText"/>
    <w:next w:val="CommentText"/>
    <w:semiHidden/>
    <w:rsid w:val="007F16A7"/>
    <w:rPr>
      <w:b/>
      <w:bCs/>
    </w:rPr>
  </w:style>
  <w:style w:type="character" w:styleId="FollowedHyperlink">
    <w:name w:val="FollowedHyperlink"/>
    <w:rsid w:val="00F0051C"/>
    <w:rPr>
      <w:color w:val="800080"/>
      <w:u w:val="single"/>
    </w:rPr>
  </w:style>
  <w:style w:type="character" w:customStyle="1" w:styleId="normal1">
    <w:name w:val="normal1"/>
    <w:rsid w:val="003A07C0"/>
    <w:rPr>
      <w:rFonts w:ascii="Verdana" w:hAnsi="Verdana" w:cs="Verdana"/>
      <w:color w:val="000000"/>
      <w:sz w:val="20"/>
      <w:szCs w:val="20"/>
    </w:rPr>
  </w:style>
  <w:style w:type="paragraph" w:styleId="ListParagraph">
    <w:name w:val="List Paragraph"/>
    <w:basedOn w:val="Normal"/>
    <w:uiPriority w:val="34"/>
    <w:qFormat/>
    <w:rsid w:val="00FE2B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016"/>
    <w:rPr>
      <w:sz w:val="24"/>
      <w:szCs w:val="24"/>
    </w:rPr>
  </w:style>
  <w:style w:type="paragraph" w:styleId="Heading3">
    <w:name w:val="heading 3"/>
    <w:basedOn w:val="Normal"/>
    <w:next w:val="PolicyText"/>
    <w:link w:val="Heading3Char"/>
    <w:qFormat/>
    <w:rsid w:val="00F82B23"/>
    <w:pPr>
      <w:keepNext/>
      <w:spacing w:before="240" w:after="12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14C8"/>
    <w:pPr>
      <w:tabs>
        <w:tab w:val="center" w:pos="4320"/>
        <w:tab w:val="right" w:pos="8640"/>
      </w:tabs>
    </w:pPr>
  </w:style>
  <w:style w:type="paragraph" w:styleId="Footer">
    <w:name w:val="footer"/>
    <w:basedOn w:val="Normal"/>
    <w:rsid w:val="00FC14C8"/>
    <w:pPr>
      <w:tabs>
        <w:tab w:val="center" w:pos="4320"/>
        <w:tab w:val="right" w:pos="8640"/>
      </w:tabs>
    </w:pPr>
  </w:style>
  <w:style w:type="table" w:styleId="TableGrid">
    <w:name w:val="Table Grid"/>
    <w:basedOn w:val="TableNormal"/>
    <w:rsid w:val="00FC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14C8"/>
    <w:pPr>
      <w:spacing w:before="100" w:beforeAutospacing="1" w:after="100" w:afterAutospacing="1"/>
    </w:pPr>
    <w:rPr>
      <w:rFonts w:ascii="Arial" w:hAnsi="Arial"/>
      <w:sz w:val="14"/>
    </w:rPr>
  </w:style>
  <w:style w:type="character" w:styleId="Strong">
    <w:name w:val="Strong"/>
    <w:qFormat/>
    <w:rsid w:val="00FC14C8"/>
    <w:rPr>
      <w:b/>
      <w:bCs/>
    </w:rPr>
  </w:style>
  <w:style w:type="paragraph" w:customStyle="1" w:styleId="PolicyHeading">
    <w:name w:val="Policy Heading"/>
    <w:basedOn w:val="Normal"/>
    <w:link w:val="PolicyHeadingChar"/>
    <w:rsid w:val="00B00724"/>
    <w:pPr>
      <w:spacing w:before="240" w:after="120"/>
    </w:pPr>
    <w:rPr>
      <w:rFonts w:ascii="Arial" w:hAnsi="Arial" w:cs="Arial"/>
      <w:b/>
      <w:sz w:val="22"/>
      <w:szCs w:val="20"/>
    </w:rPr>
  </w:style>
  <w:style w:type="paragraph" w:customStyle="1" w:styleId="PolicyText">
    <w:name w:val="Policy Text"/>
    <w:basedOn w:val="PolicyHeading"/>
    <w:link w:val="PolicyTextChar"/>
    <w:rsid w:val="00B00724"/>
    <w:pPr>
      <w:spacing w:before="0" w:after="0"/>
    </w:pPr>
    <w:rPr>
      <w:b w:val="0"/>
      <w:sz w:val="20"/>
    </w:rPr>
  </w:style>
  <w:style w:type="paragraph" w:customStyle="1" w:styleId="RRHeading">
    <w:name w:val="R/R Heading"/>
    <w:basedOn w:val="Normal"/>
    <w:rsid w:val="007B5B2B"/>
    <w:pPr>
      <w:spacing w:before="360"/>
    </w:pPr>
    <w:rPr>
      <w:rFonts w:ascii="Arial" w:hAnsi="Arial"/>
      <w:b/>
      <w:bCs/>
      <w:sz w:val="20"/>
      <w:szCs w:val="20"/>
    </w:rPr>
  </w:style>
  <w:style w:type="paragraph" w:customStyle="1" w:styleId="Policybullet">
    <w:name w:val="Policy bullet"/>
    <w:basedOn w:val="Normal"/>
    <w:rsid w:val="00817231"/>
    <w:pPr>
      <w:numPr>
        <w:numId w:val="1"/>
      </w:numPr>
      <w:spacing w:before="120"/>
      <w:ind w:left="720"/>
    </w:pPr>
    <w:rPr>
      <w:rFonts w:ascii="Arial" w:hAnsi="Arial"/>
      <w:sz w:val="20"/>
      <w:szCs w:val="20"/>
    </w:rPr>
  </w:style>
  <w:style w:type="character" w:customStyle="1" w:styleId="PolicyHeadingChar">
    <w:name w:val="Policy Heading Char"/>
    <w:link w:val="PolicyHeading"/>
    <w:rsid w:val="00B00724"/>
    <w:rPr>
      <w:rFonts w:ascii="Arial" w:hAnsi="Arial" w:cs="Arial"/>
      <w:b/>
      <w:sz w:val="22"/>
      <w:lang w:val="en-US" w:eastAsia="en-US" w:bidi="ar-SA"/>
    </w:rPr>
  </w:style>
  <w:style w:type="character" w:customStyle="1" w:styleId="PolicyTextChar">
    <w:name w:val="Policy Text Char"/>
    <w:basedOn w:val="PolicyHeadingChar"/>
    <w:link w:val="PolicyText"/>
    <w:rsid w:val="00B00724"/>
    <w:rPr>
      <w:rFonts w:ascii="Arial" w:hAnsi="Arial" w:cs="Arial"/>
      <w:b/>
      <w:sz w:val="22"/>
      <w:lang w:val="en-US" w:eastAsia="en-US" w:bidi="ar-SA"/>
    </w:rPr>
  </w:style>
  <w:style w:type="paragraph" w:customStyle="1" w:styleId="PolicyQuestion">
    <w:name w:val="Policy Question"/>
    <w:basedOn w:val="PolicyText"/>
    <w:rsid w:val="00B00724"/>
    <w:pPr>
      <w:spacing w:before="120"/>
    </w:pPr>
    <w:rPr>
      <w:b/>
      <w:bCs/>
    </w:rPr>
  </w:style>
  <w:style w:type="paragraph" w:customStyle="1" w:styleId="PolicyAnswer">
    <w:name w:val="Policy Answer"/>
    <w:basedOn w:val="PolicyText"/>
    <w:rsid w:val="00B00724"/>
    <w:pPr>
      <w:ind w:left="360"/>
    </w:pPr>
    <w:rPr>
      <w:rFonts w:cs="Times New Roman"/>
    </w:rPr>
  </w:style>
  <w:style w:type="character" w:styleId="Hyperlink">
    <w:name w:val="Hyperlink"/>
    <w:rsid w:val="00F82B23"/>
    <w:rPr>
      <w:color w:val="0000FF"/>
      <w:u w:val="single"/>
    </w:rPr>
  </w:style>
  <w:style w:type="character" w:customStyle="1" w:styleId="Heading3Char">
    <w:name w:val="Heading 3 Char"/>
    <w:link w:val="Heading3"/>
    <w:rsid w:val="00F82B23"/>
    <w:rPr>
      <w:rFonts w:ascii="Arial" w:hAnsi="Arial" w:cs="Arial"/>
      <w:b/>
      <w:bCs/>
      <w:sz w:val="22"/>
      <w:szCs w:val="26"/>
      <w:lang w:val="en-US" w:eastAsia="en-US" w:bidi="ar-SA"/>
    </w:rPr>
  </w:style>
  <w:style w:type="paragraph" w:styleId="BalloonText">
    <w:name w:val="Balloon Text"/>
    <w:basedOn w:val="Normal"/>
    <w:semiHidden/>
    <w:rsid w:val="00655A99"/>
    <w:rPr>
      <w:rFonts w:ascii="Tahoma" w:hAnsi="Tahoma" w:cs="Tahoma"/>
      <w:sz w:val="16"/>
      <w:szCs w:val="16"/>
    </w:rPr>
  </w:style>
  <w:style w:type="character" w:styleId="CommentReference">
    <w:name w:val="annotation reference"/>
    <w:semiHidden/>
    <w:rsid w:val="002D1719"/>
    <w:rPr>
      <w:sz w:val="16"/>
      <w:szCs w:val="16"/>
    </w:rPr>
  </w:style>
  <w:style w:type="paragraph" w:styleId="CommentText">
    <w:name w:val="annotation text"/>
    <w:basedOn w:val="Normal"/>
    <w:semiHidden/>
    <w:rsid w:val="002D1719"/>
    <w:rPr>
      <w:sz w:val="20"/>
      <w:szCs w:val="20"/>
    </w:rPr>
  </w:style>
  <w:style w:type="paragraph" w:styleId="CommentSubject">
    <w:name w:val="annotation subject"/>
    <w:basedOn w:val="CommentText"/>
    <w:next w:val="CommentText"/>
    <w:semiHidden/>
    <w:rsid w:val="007F16A7"/>
    <w:rPr>
      <w:b/>
      <w:bCs/>
    </w:rPr>
  </w:style>
  <w:style w:type="character" w:styleId="FollowedHyperlink">
    <w:name w:val="FollowedHyperlink"/>
    <w:rsid w:val="00F0051C"/>
    <w:rPr>
      <w:color w:val="800080"/>
      <w:u w:val="single"/>
    </w:rPr>
  </w:style>
  <w:style w:type="character" w:customStyle="1" w:styleId="normal1">
    <w:name w:val="normal1"/>
    <w:rsid w:val="003A07C0"/>
    <w:rPr>
      <w:rFonts w:ascii="Verdana" w:hAnsi="Verdana" w:cs="Verdana"/>
      <w:color w:val="000000"/>
      <w:sz w:val="20"/>
      <w:szCs w:val="20"/>
    </w:rPr>
  </w:style>
  <w:style w:type="paragraph" w:styleId="ListParagraph">
    <w:name w:val="List Paragraph"/>
    <w:basedOn w:val="Normal"/>
    <w:uiPriority w:val="34"/>
    <w:qFormat/>
    <w:rsid w:val="00FE2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57536">
      <w:bodyDiv w:val="1"/>
      <w:marLeft w:val="0"/>
      <w:marRight w:val="0"/>
      <w:marTop w:val="0"/>
      <w:marBottom w:val="0"/>
      <w:divBdr>
        <w:top w:val="none" w:sz="0" w:space="0" w:color="auto"/>
        <w:left w:val="none" w:sz="0" w:space="0" w:color="auto"/>
        <w:bottom w:val="none" w:sz="0" w:space="0" w:color="auto"/>
        <w:right w:val="none" w:sz="0" w:space="0" w:color="auto"/>
      </w:divBdr>
      <w:divsChild>
        <w:div w:id="600138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616498">
      <w:bodyDiv w:val="1"/>
      <w:marLeft w:val="0"/>
      <w:marRight w:val="0"/>
      <w:marTop w:val="0"/>
      <w:marBottom w:val="0"/>
      <w:divBdr>
        <w:top w:val="none" w:sz="0" w:space="0" w:color="auto"/>
        <w:left w:val="none" w:sz="0" w:space="0" w:color="auto"/>
        <w:bottom w:val="none" w:sz="0" w:space="0" w:color="auto"/>
        <w:right w:val="none" w:sz="0" w:space="0" w:color="auto"/>
      </w:divBdr>
    </w:div>
    <w:div w:id="663826300">
      <w:bodyDiv w:val="1"/>
      <w:marLeft w:val="0"/>
      <w:marRight w:val="0"/>
      <w:marTop w:val="0"/>
      <w:marBottom w:val="0"/>
      <w:divBdr>
        <w:top w:val="none" w:sz="0" w:space="0" w:color="auto"/>
        <w:left w:val="none" w:sz="0" w:space="0" w:color="auto"/>
        <w:bottom w:val="none" w:sz="0" w:space="0" w:color="auto"/>
        <w:right w:val="none" w:sz="0" w:space="0" w:color="auto"/>
      </w:divBdr>
    </w:div>
    <w:div w:id="877743185">
      <w:bodyDiv w:val="1"/>
      <w:marLeft w:val="0"/>
      <w:marRight w:val="0"/>
      <w:marTop w:val="0"/>
      <w:marBottom w:val="0"/>
      <w:divBdr>
        <w:top w:val="none" w:sz="0" w:space="0" w:color="auto"/>
        <w:left w:val="none" w:sz="0" w:space="0" w:color="auto"/>
        <w:bottom w:val="none" w:sz="0" w:space="0" w:color="auto"/>
        <w:right w:val="none" w:sz="0" w:space="0" w:color="auto"/>
      </w:divBdr>
    </w:div>
    <w:div w:id="1150051147">
      <w:bodyDiv w:val="1"/>
      <w:marLeft w:val="0"/>
      <w:marRight w:val="0"/>
      <w:marTop w:val="0"/>
      <w:marBottom w:val="0"/>
      <w:divBdr>
        <w:top w:val="none" w:sz="0" w:space="0" w:color="auto"/>
        <w:left w:val="none" w:sz="0" w:space="0" w:color="auto"/>
        <w:bottom w:val="none" w:sz="0" w:space="0" w:color="auto"/>
        <w:right w:val="none" w:sz="0" w:space="0" w:color="auto"/>
      </w:divBdr>
    </w:div>
    <w:div w:id="1151874380">
      <w:bodyDiv w:val="1"/>
      <w:marLeft w:val="0"/>
      <w:marRight w:val="0"/>
      <w:marTop w:val="0"/>
      <w:marBottom w:val="0"/>
      <w:divBdr>
        <w:top w:val="none" w:sz="0" w:space="0" w:color="auto"/>
        <w:left w:val="none" w:sz="0" w:space="0" w:color="auto"/>
        <w:bottom w:val="none" w:sz="0" w:space="0" w:color="auto"/>
        <w:right w:val="none" w:sz="0" w:space="0" w:color="auto"/>
      </w:divBdr>
    </w:div>
    <w:div w:id="1269197667">
      <w:bodyDiv w:val="1"/>
      <w:marLeft w:val="0"/>
      <w:marRight w:val="0"/>
      <w:marTop w:val="0"/>
      <w:marBottom w:val="0"/>
      <w:divBdr>
        <w:top w:val="none" w:sz="0" w:space="0" w:color="auto"/>
        <w:left w:val="none" w:sz="0" w:space="0" w:color="auto"/>
        <w:bottom w:val="none" w:sz="0" w:space="0" w:color="auto"/>
        <w:right w:val="none" w:sz="0" w:space="0" w:color="auto"/>
      </w:divBdr>
      <w:divsChild>
        <w:div w:id="54737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105072">
      <w:bodyDiv w:val="1"/>
      <w:marLeft w:val="0"/>
      <w:marRight w:val="0"/>
      <w:marTop w:val="0"/>
      <w:marBottom w:val="0"/>
      <w:divBdr>
        <w:top w:val="none" w:sz="0" w:space="0" w:color="auto"/>
        <w:left w:val="none" w:sz="0" w:space="0" w:color="auto"/>
        <w:bottom w:val="none" w:sz="0" w:space="0" w:color="auto"/>
        <w:right w:val="none" w:sz="0" w:space="0" w:color="auto"/>
      </w:divBdr>
      <w:divsChild>
        <w:div w:id="1287201550">
          <w:marLeft w:val="0"/>
          <w:marRight w:val="0"/>
          <w:marTop w:val="0"/>
          <w:marBottom w:val="0"/>
          <w:divBdr>
            <w:top w:val="none" w:sz="0" w:space="0" w:color="auto"/>
            <w:left w:val="none" w:sz="0" w:space="0" w:color="auto"/>
            <w:bottom w:val="none" w:sz="0" w:space="0" w:color="auto"/>
            <w:right w:val="none" w:sz="0" w:space="0" w:color="auto"/>
          </w:divBdr>
          <w:divsChild>
            <w:div w:id="565913681">
              <w:marLeft w:val="0"/>
              <w:marRight w:val="0"/>
              <w:marTop w:val="0"/>
              <w:marBottom w:val="0"/>
              <w:divBdr>
                <w:top w:val="none" w:sz="0" w:space="0" w:color="auto"/>
                <w:left w:val="none" w:sz="0" w:space="0" w:color="auto"/>
                <w:bottom w:val="none" w:sz="0" w:space="0" w:color="auto"/>
                <w:right w:val="none" w:sz="0" w:space="0" w:color="auto"/>
              </w:divBdr>
              <w:divsChild>
                <w:div w:id="1583486545">
                  <w:marLeft w:val="0"/>
                  <w:marRight w:val="0"/>
                  <w:marTop w:val="0"/>
                  <w:marBottom w:val="0"/>
                  <w:divBdr>
                    <w:top w:val="none" w:sz="0" w:space="0" w:color="auto"/>
                    <w:left w:val="none" w:sz="0" w:space="0" w:color="auto"/>
                    <w:bottom w:val="none" w:sz="0" w:space="0" w:color="auto"/>
                    <w:right w:val="none" w:sz="0" w:space="0" w:color="auto"/>
                  </w:divBdr>
                  <w:divsChild>
                    <w:div w:id="1204057556">
                      <w:marLeft w:val="0"/>
                      <w:marRight w:val="0"/>
                      <w:marTop w:val="0"/>
                      <w:marBottom w:val="0"/>
                      <w:divBdr>
                        <w:top w:val="none" w:sz="0" w:space="0" w:color="auto"/>
                        <w:left w:val="none" w:sz="0" w:space="0" w:color="auto"/>
                        <w:bottom w:val="none" w:sz="0" w:space="0" w:color="auto"/>
                        <w:right w:val="none" w:sz="0" w:space="0" w:color="auto"/>
                      </w:divBdr>
                      <w:divsChild>
                        <w:div w:id="1745032015">
                          <w:marLeft w:val="0"/>
                          <w:marRight w:val="0"/>
                          <w:marTop w:val="0"/>
                          <w:marBottom w:val="0"/>
                          <w:divBdr>
                            <w:top w:val="none" w:sz="0" w:space="0" w:color="auto"/>
                            <w:left w:val="none" w:sz="0" w:space="0" w:color="auto"/>
                            <w:bottom w:val="none" w:sz="0" w:space="0" w:color="auto"/>
                            <w:right w:val="none" w:sz="0" w:space="0" w:color="auto"/>
                          </w:divBdr>
                          <w:divsChild>
                            <w:div w:id="1683431339">
                              <w:marLeft w:val="0"/>
                              <w:marRight w:val="0"/>
                              <w:marTop w:val="0"/>
                              <w:marBottom w:val="0"/>
                              <w:divBdr>
                                <w:top w:val="none" w:sz="0" w:space="0" w:color="auto"/>
                                <w:left w:val="none" w:sz="0" w:space="0" w:color="auto"/>
                                <w:bottom w:val="none" w:sz="0" w:space="0" w:color="auto"/>
                                <w:right w:val="none" w:sz="0" w:space="0" w:color="auto"/>
                              </w:divBdr>
                              <w:divsChild>
                                <w:div w:id="13514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899466">
      <w:bodyDiv w:val="1"/>
      <w:marLeft w:val="0"/>
      <w:marRight w:val="0"/>
      <w:marTop w:val="0"/>
      <w:marBottom w:val="0"/>
      <w:divBdr>
        <w:top w:val="none" w:sz="0" w:space="0" w:color="auto"/>
        <w:left w:val="none" w:sz="0" w:space="0" w:color="auto"/>
        <w:bottom w:val="none" w:sz="0" w:space="0" w:color="auto"/>
        <w:right w:val="none" w:sz="0" w:space="0" w:color="auto"/>
      </w:divBdr>
    </w:div>
    <w:div w:id="1572538309">
      <w:bodyDiv w:val="1"/>
      <w:marLeft w:val="0"/>
      <w:marRight w:val="0"/>
      <w:marTop w:val="0"/>
      <w:marBottom w:val="0"/>
      <w:divBdr>
        <w:top w:val="none" w:sz="0" w:space="0" w:color="auto"/>
        <w:left w:val="none" w:sz="0" w:space="0" w:color="auto"/>
        <w:bottom w:val="none" w:sz="0" w:space="0" w:color="auto"/>
        <w:right w:val="none" w:sz="0" w:space="0" w:color="auto"/>
      </w:divBdr>
      <w:divsChild>
        <w:div w:id="210642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65856">
      <w:bodyDiv w:val="1"/>
      <w:marLeft w:val="0"/>
      <w:marRight w:val="0"/>
      <w:marTop w:val="0"/>
      <w:marBottom w:val="0"/>
      <w:divBdr>
        <w:top w:val="none" w:sz="0" w:space="0" w:color="auto"/>
        <w:left w:val="none" w:sz="0" w:space="0" w:color="auto"/>
        <w:bottom w:val="none" w:sz="0" w:space="0" w:color="auto"/>
        <w:right w:val="none" w:sz="0" w:space="0" w:color="auto"/>
      </w:divBdr>
    </w:div>
    <w:div w:id="2039162027">
      <w:bodyDiv w:val="1"/>
      <w:marLeft w:val="0"/>
      <w:marRight w:val="0"/>
      <w:marTop w:val="0"/>
      <w:marBottom w:val="0"/>
      <w:divBdr>
        <w:top w:val="none" w:sz="0" w:space="0" w:color="auto"/>
        <w:left w:val="none" w:sz="0" w:space="0" w:color="auto"/>
        <w:bottom w:val="none" w:sz="0" w:space="0" w:color="auto"/>
        <w:right w:val="none" w:sz="0" w:space="0" w:color="auto"/>
      </w:divBdr>
      <w:divsChild>
        <w:div w:id="194106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hompson.e@gh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sr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scrn.org/en/Tools%20&amp;%20Materials/GrantsContracting/Small%20Cells-Expert%20Assessment%20Checklist.doc" TargetMode="External"/><Relationship Id="rId4" Type="http://schemas.microsoft.com/office/2007/relationships/stylesWithEffects" Target="stylesWithEffects.xml"/><Relationship Id="rId9" Type="http://schemas.openxmlformats.org/officeDocument/2006/relationships/hyperlink" Target="http://www.hcsrn.org/en/Tools%20&amp;%20Materials/GrantsContracting/SmallCells-final.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6821-E561-4E46-84CA-B31D9B57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2756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Template</vt:lpstr>
    </vt:vector>
  </TitlesOfParts>
  <Company>GHC</Company>
  <LinksUpToDate>false</LinksUpToDate>
  <CharactersWithSpaces>18262</CharactersWithSpaces>
  <SharedDoc>false</SharedDoc>
  <HLinks>
    <vt:vector size="60" baseType="variant">
      <vt:variant>
        <vt:i4>3932252</vt:i4>
      </vt:variant>
      <vt:variant>
        <vt:i4>27</vt:i4>
      </vt:variant>
      <vt:variant>
        <vt:i4>0</vt:i4>
      </vt:variant>
      <vt:variant>
        <vt:i4>5</vt:i4>
      </vt:variant>
      <vt:variant>
        <vt:lpwstr>mailto:thompson.e@ghc.org</vt:lpwstr>
      </vt:variant>
      <vt:variant>
        <vt:lpwstr/>
      </vt:variant>
      <vt:variant>
        <vt:i4>5701716</vt:i4>
      </vt:variant>
      <vt:variant>
        <vt:i4>24</vt:i4>
      </vt:variant>
      <vt:variant>
        <vt:i4>0</vt:i4>
      </vt:variant>
      <vt:variant>
        <vt:i4>5</vt:i4>
      </vt:variant>
      <vt:variant>
        <vt:lpwstr>http://www.hmoresearchnetwork.org/resources/toolkit/HMORN_CollaborationToolkit.pdf</vt:lpwstr>
      </vt:variant>
      <vt:variant>
        <vt:lpwstr>2_4</vt:lpwstr>
      </vt:variant>
      <vt:variant>
        <vt:i4>7209055</vt:i4>
      </vt:variant>
      <vt:variant>
        <vt:i4>21</vt:i4>
      </vt:variant>
      <vt:variant>
        <vt:i4>0</vt:i4>
      </vt:variant>
      <vt:variant>
        <vt:i4>5</vt:i4>
      </vt:variant>
      <vt:variant>
        <vt:lpwstr/>
      </vt:variant>
      <vt:variant>
        <vt:lpwstr>External_Links</vt:lpwstr>
      </vt:variant>
      <vt:variant>
        <vt:i4>2097172</vt:i4>
      </vt:variant>
      <vt:variant>
        <vt:i4>18</vt:i4>
      </vt:variant>
      <vt:variant>
        <vt:i4>0</vt:i4>
      </vt:variant>
      <vt:variant>
        <vt:i4>5</vt:i4>
      </vt:variant>
      <vt:variant>
        <vt:lpwstr/>
      </vt:variant>
      <vt:variant>
        <vt:lpwstr>Updates_Feedback</vt:lpwstr>
      </vt:variant>
      <vt:variant>
        <vt:i4>1179705</vt:i4>
      </vt:variant>
      <vt:variant>
        <vt:i4>15</vt:i4>
      </vt:variant>
      <vt:variant>
        <vt:i4>0</vt:i4>
      </vt:variant>
      <vt:variant>
        <vt:i4>5</vt:i4>
      </vt:variant>
      <vt:variant>
        <vt:lpwstr/>
      </vt:variant>
      <vt:variant>
        <vt:lpwstr>More_PolicyTopics</vt:lpwstr>
      </vt:variant>
      <vt:variant>
        <vt:i4>8257608</vt:i4>
      </vt:variant>
      <vt:variant>
        <vt:i4>12</vt:i4>
      </vt:variant>
      <vt:variant>
        <vt:i4>0</vt:i4>
      </vt:variant>
      <vt:variant>
        <vt:i4>5</vt:i4>
      </vt:variant>
      <vt:variant>
        <vt:lpwstr/>
      </vt:variant>
      <vt:variant>
        <vt:lpwstr>More_HMORNResources</vt:lpwstr>
      </vt:variant>
      <vt:variant>
        <vt:i4>6553683</vt:i4>
      </vt:variant>
      <vt:variant>
        <vt:i4>9</vt:i4>
      </vt:variant>
      <vt:variant>
        <vt:i4>0</vt:i4>
      </vt:variant>
      <vt:variant>
        <vt:i4>5</vt:i4>
      </vt:variant>
      <vt:variant>
        <vt:lpwstr/>
      </vt:variant>
      <vt:variant>
        <vt:lpwstr>Best_Practices</vt:lpwstr>
      </vt:variant>
      <vt:variant>
        <vt:i4>6422598</vt:i4>
      </vt:variant>
      <vt:variant>
        <vt:i4>6</vt:i4>
      </vt:variant>
      <vt:variant>
        <vt:i4>0</vt:i4>
      </vt:variant>
      <vt:variant>
        <vt:i4>5</vt:i4>
      </vt:variant>
      <vt:variant>
        <vt:lpwstr/>
      </vt:variant>
      <vt:variant>
        <vt:lpwstr>Topics_Sections</vt:lpwstr>
      </vt:variant>
      <vt:variant>
        <vt:i4>6422647</vt:i4>
      </vt:variant>
      <vt:variant>
        <vt:i4>3</vt:i4>
      </vt:variant>
      <vt:variant>
        <vt:i4>0</vt:i4>
      </vt:variant>
      <vt:variant>
        <vt:i4>5</vt:i4>
      </vt:variant>
      <vt:variant>
        <vt:lpwstr/>
      </vt:variant>
      <vt:variant>
        <vt:lpwstr>Definitions</vt:lpwstr>
      </vt:variant>
      <vt:variant>
        <vt:i4>3801108</vt:i4>
      </vt:variant>
      <vt:variant>
        <vt:i4>0</vt:i4>
      </vt:variant>
      <vt:variant>
        <vt:i4>0</vt:i4>
      </vt:variant>
      <vt:variant>
        <vt:i4>5</vt:i4>
      </vt:variant>
      <vt:variant>
        <vt:lpwstr/>
      </vt:variant>
      <vt:variant>
        <vt:lpwstr>Scope_Purpose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Jessica Ridpath</dc:creator>
  <cp:lastModifiedBy>Thompson, Ella</cp:lastModifiedBy>
  <cp:revision>5</cp:revision>
  <cp:lastPrinted>2013-11-13T19:36:00Z</cp:lastPrinted>
  <dcterms:created xsi:type="dcterms:W3CDTF">2013-12-26T20:07:00Z</dcterms:created>
  <dcterms:modified xsi:type="dcterms:W3CDTF">2015-07-16T20:37:00Z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Jessica Ridapth</vt:lpwstr>
  </property>
  <property fmtid="{D5CDD505-2E9C-101B-9397-08002B2CF9AE}" pid="3" name="Folder Name">
    <vt:lpwstr>Other</vt:lpwstr>
  </property>
  <property fmtid="{D5CDD505-2E9C-101B-9397-08002B2CF9AE}" pid="4" name="ContentType">
    <vt:lpwstr>Document</vt:lpwstr>
  </property>
  <property fmtid="{D5CDD505-2E9C-101B-9397-08002B2CF9AE}" pid="5" name="display_urn:schemas-microsoft-com:office:office#Editor">
    <vt:lpwstr>Ridpath, Jessica</vt:lpwstr>
  </property>
  <property fmtid="{D5CDD505-2E9C-101B-9397-08002B2CF9AE}" pid="6" name="xd_Signature">
    <vt:lpwstr/>
  </property>
  <property fmtid="{D5CDD505-2E9C-101B-9397-08002B2CF9AE}" pid="7" name="display_urn:schemas-microsoft-com:office:office#Author">
    <vt:lpwstr>Ridpath, Jessica</vt:lpwstr>
  </property>
  <property fmtid="{D5CDD505-2E9C-101B-9397-08002B2CF9AE}" pid="8" name="TemplateUrl">
    <vt:lpwstr/>
  </property>
  <property fmtid="{D5CDD505-2E9C-101B-9397-08002B2CF9AE}" pid="9" name="xd_ProgID">
    <vt:lpwstr/>
  </property>
  <property fmtid="{D5CDD505-2E9C-101B-9397-08002B2CF9AE}" pid="10" name="_SourceUrl">
    <vt:lpwstr/>
  </property>
</Properties>
</file>