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E26C09"/>
        </w:rPr>
        <w:t>HCSRN</w:t>
      </w:r>
      <w:r>
        <w:rPr>
          <w:color w:val="E26C09"/>
          <w:spacing w:val="-2"/>
        </w:rPr>
        <w:t> </w:t>
      </w:r>
      <w:r>
        <w:rPr>
          <w:color w:val="E26C09"/>
        </w:rPr>
        <w:t>BOILERPLATE</w:t>
      </w:r>
      <w:r>
        <w:rPr>
          <w:color w:val="E26C09"/>
          <w:spacing w:val="-2"/>
        </w:rPr>
        <w:t> </w:t>
      </w:r>
      <w:r>
        <w:rPr>
          <w:color w:val="E26C09"/>
        </w:rPr>
        <w:t>FOR</w:t>
      </w:r>
      <w:r>
        <w:rPr>
          <w:color w:val="E26C09"/>
          <w:spacing w:val="-1"/>
        </w:rPr>
        <w:t> </w:t>
      </w:r>
      <w:r>
        <w:rPr>
          <w:color w:val="E26C09"/>
        </w:rPr>
        <w:t>GRANT</w:t>
      </w:r>
      <w:r>
        <w:rPr>
          <w:color w:val="E26C09"/>
          <w:spacing w:val="-1"/>
        </w:rPr>
        <w:t> </w:t>
      </w:r>
      <w:r>
        <w:rPr>
          <w:color w:val="E26C09"/>
        </w:rPr>
        <w:t>WRITERS</w:t>
      </w:r>
    </w:p>
    <w:p>
      <w:pPr>
        <w:spacing w:before="245"/>
        <w:ind w:left="7463" w:right="0" w:firstLine="0"/>
        <w:jc w:val="left"/>
        <w:rPr>
          <w:b/>
          <w:sz w:val="20"/>
        </w:rPr>
      </w:pPr>
      <w:r>
        <w:rPr>
          <w:b/>
          <w:color w:val="0070BB"/>
          <w:sz w:val="20"/>
        </w:rPr>
        <w:t>Last</w:t>
      </w:r>
      <w:r>
        <w:rPr>
          <w:b/>
          <w:color w:val="0070BB"/>
          <w:spacing w:val="-3"/>
          <w:sz w:val="20"/>
        </w:rPr>
        <w:t> </w:t>
      </w:r>
      <w:r>
        <w:rPr>
          <w:b/>
          <w:color w:val="0070BB"/>
          <w:sz w:val="20"/>
        </w:rPr>
        <w:t>updated:</w:t>
      </w:r>
      <w:r>
        <w:rPr>
          <w:b/>
          <w:color w:val="0070BB"/>
          <w:spacing w:val="-4"/>
          <w:sz w:val="20"/>
        </w:rPr>
        <w:t> </w:t>
      </w:r>
      <w:r>
        <w:rPr>
          <w:b/>
          <w:color w:val="0070BB"/>
          <w:sz w:val="20"/>
        </w:rPr>
        <w:t>7/2015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06" w:right="164"/>
      </w:pPr>
      <w:r>
        <w:rPr>
          <w:b/>
        </w:rPr>
        <w:t>The Health Care Systems Research Network </w:t>
      </w:r>
      <w:r>
        <w:rPr/>
        <w:t>(HCSRN, </w:t>
      </w:r>
      <w:hyperlink r:id="rId5">
        <w:r>
          <w:rPr>
            <w:color w:val="0000FF"/>
            <w:u w:val="single" w:color="0000FF"/>
          </w:rPr>
          <w:t>www.hcsrn.org</w:t>
        </w:r>
      </w:hyperlink>
      <w:r>
        <w:rPr/>
        <w:t>), formerly known as the</w:t>
      </w:r>
      <w:r>
        <w:rPr>
          <w:spacing w:val="1"/>
        </w:rPr>
        <w:t> </w:t>
      </w:r>
      <w:r>
        <w:rPr/>
        <w:t>HMO Research Network, is a </w:t>
      </w:r>
      <w:r>
        <w:rPr>
          <w:color w:val="000000"/>
          <w:shd w:fill="C0C0C0" w:color="auto" w:val="clear"/>
        </w:rPr>
        <w:t>consortium of 18 U.S. health care systems with a 19</w:t>
      </w:r>
      <w:r>
        <w:rPr>
          <w:color w:val="000000"/>
          <w:position w:val="5"/>
          <w:sz w:val="13"/>
          <w:shd w:fill="C0C0C0" w:color="auto" w:val="clear"/>
        </w:rPr>
        <w:t>th </w:t>
      </w:r>
      <w:r>
        <w:rPr>
          <w:color w:val="000000"/>
          <w:shd w:fill="C0C0C0" w:color="auto" w:val="clear"/>
        </w:rPr>
        <w:t>member site in</w:t>
      </w:r>
      <w:r>
        <w:rPr>
          <w:color w:val="000000"/>
          <w:spacing w:val="-53"/>
        </w:rPr>
        <w:t> </w:t>
      </w:r>
      <w:r>
        <w:rPr>
          <w:color w:val="000000"/>
          <w:shd w:fill="C0C0C0" w:color="auto" w:val="clear"/>
        </w:rPr>
        <w:t>Israel</w:t>
      </w:r>
      <w:r>
        <w:rPr>
          <w:color w:val="000000"/>
        </w:rPr>
        <w:t>. Each HCSRN research center is affiliated with a not-for-profit health care system and</w:t>
      </w:r>
      <w:r>
        <w:rPr>
          <w:color w:val="000000"/>
          <w:spacing w:val="1"/>
        </w:rPr>
        <w:t> </w:t>
      </w:r>
      <w:r>
        <w:rPr>
          <w:color w:val="000000"/>
        </w:rPr>
        <w:t>conducts public domain research meant to advance population health. Most of the HCSRN’s</w:t>
      </w:r>
      <w:r>
        <w:rPr>
          <w:color w:val="000000"/>
          <w:spacing w:val="1"/>
        </w:rPr>
        <w:t> </w:t>
      </w:r>
      <w:r>
        <w:rPr>
          <w:color w:val="000000"/>
        </w:rPr>
        <w:t>research centers have been active for the several decades. The HCSRN’s vision is to be the</w:t>
      </w:r>
      <w:r>
        <w:rPr>
          <w:color w:val="000000"/>
          <w:spacing w:val="1"/>
        </w:rPr>
        <w:t> </w:t>
      </w:r>
      <w:r>
        <w:rPr>
          <w:color w:val="000000"/>
        </w:rPr>
        <w:t>nation’s</w:t>
      </w:r>
      <w:r>
        <w:rPr>
          <w:color w:val="000000"/>
          <w:spacing w:val="-5"/>
        </w:rPr>
        <w:t> </w:t>
      </w:r>
      <w:r>
        <w:rPr>
          <w:color w:val="000000"/>
        </w:rPr>
        <w:t>preeminent</w:t>
      </w:r>
      <w:r>
        <w:rPr>
          <w:color w:val="000000"/>
          <w:spacing w:val="-5"/>
        </w:rPr>
        <w:t> </w:t>
      </w:r>
      <w:r>
        <w:rPr>
          <w:color w:val="000000"/>
        </w:rPr>
        <w:t>source</w:t>
      </w:r>
      <w:r>
        <w:rPr>
          <w:color w:val="000000"/>
          <w:spacing w:val="-5"/>
        </w:rPr>
        <w:t> </w:t>
      </w:r>
      <w:r>
        <w:rPr>
          <w:color w:val="000000"/>
        </w:rPr>
        <w:t>of</w:t>
      </w:r>
      <w:r>
        <w:rPr>
          <w:color w:val="000000"/>
          <w:spacing w:val="-5"/>
        </w:rPr>
        <w:t> </w:t>
      </w:r>
      <w:r>
        <w:rPr>
          <w:color w:val="000000"/>
        </w:rPr>
        <w:t>population-based</w:t>
      </w:r>
      <w:r>
        <w:rPr>
          <w:color w:val="000000"/>
          <w:spacing w:val="-4"/>
        </w:rPr>
        <w:t> </w:t>
      </w:r>
      <w:r>
        <w:rPr>
          <w:color w:val="000000"/>
        </w:rPr>
        <w:t>research</w:t>
      </w:r>
      <w:r>
        <w:rPr>
          <w:color w:val="000000"/>
          <w:spacing w:val="-4"/>
        </w:rPr>
        <w:t> </w:t>
      </w:r>
      <w:r>
        <w:rPr>
          <w:color w:val="000000"/>
        </w:rPr>
        <w:t>that</w:t>
      </w:r>
      <w:r>
        <w:rPr>
          <w:color w:val="000000"/>
          <w:spacing w:val="-4"/>
        </w:rPr>
        <w:t> </w:t>
      </w:r>
      <w:r>
        <w:rPr>
          <w:color w:val="000000"/>
        </w:rPr>
        <w:t>measurably</w:t>
      </w:r>
      <w:r>
        <w:rPr>
          <w:color w:val="000000"/>
          <w:spacing w:val="-3"/>
        </w:rPr>
        <w:t> </w:t>
      </w:r>
      <w:r>
        <w:rPr>
          <w:color w:val="000000"/>
        </w:rPr>
        <w:t>improves</w:t>
      </w:r>
      <w:r>
        <w:rPr>
          <w:color w:val="000000"/>
          <w:spacing w:val="-5"/>
        </w:rPr>
        <w:t> </w:t>
      </w:r>
      <w:r>
        <w:rPr>
          <w:color w:val="000000"/>
        </w:rPr>
        <w:t>health</w:t>
      </w:r>
      <w:r>
        <w:rPr>
          <w:color w:val="000000"/>
          <w:spacing w:val="-4"/>
        </w:rPr>
        <w:t> </w:t>
      </w:r>
      <w:r>
        <w:rPr>
          <w:color w:val="000000"/>
        </w:rPr>
        <w:t>and</w:t>
      </w:r>
      <w:r>
        <w:rPr>
          <w:color w:val="000000"/>
          <w:spacing w:val="-52"/>
        </w:rPr>
        <w:t> </w:t>
      </w:r>
      <w:r>
        <w:rPr>
          <w:color w:val="000000"/>
        </w:rPr>
        <w:t>health</w:t>
      </w:r>
      <w:r>
        <w:rPr>
          <w:color w:val="000000"/>
          <w:spacing w:val="-1"/>
        </w:rPr>
        <w:t> </w:t>
      </w:r>
      <w:r>
        <w:rPr>
          <w:color w:val="000000"/>
        </w:rPr>
        <w:t>care.</w:t>
      </w:r>
    </w:p>
    <w:p>
      <w:pPr>
        <w:pStyle w:val="BodyText"/>
        <w:spacing w:before="10"/>
        <w:rPr>
          <w:sz w:val="11"/>
        </w:rPr>
      </w:pPr>
    </w:p>
    <w:p>
      <w:pPr>
        <w:pStyle w:val="BodyText"/>
        <w:spacing w:before="99"/>
        <w:ind w:left="107" w:right="475"/>
      </w:pPr>
      <w:r>
        <w:rPr/>
        <w:t>Collectively, the HCSRN represents </w:t>
      </w:r>
      <w:r>
        <w:rPr>
          <w:color w:val="000000"/>
          <w:shd w:fill="C0C0C0" w:color="auto" w:val="clear"/>
        </w:rPr>
        <w:t>over 1,900 scientists and research staff</w:t>
      </w:r>
      <w:r>
        <w:rPr>
          <w:color w:val="000000"/>
        </w:rPr>
        <w:t> from health care</w:t>
      </w:r>
      <w:r>
        <w:rPr>
          <w:color w:val="000000"/>
          <w:spacing w:val="1"/>
        </w:rPr>
        <w:t> </w:t>
      </w:r>
      <w:r>
        <w:rPr>
          <w:color w:val="000000"/>
        </w:rPr>
        <w:t>systems serving </w:t>
      </w:r>
      <w:r>
        <w:rPr>
          <w:color w:val="000000"/>
          <w:shd w:fill="C0C0C0" w:color="auto" w:val="clear"/>
        </w:rPr>
        <w:t>&gt;28.4 million </w:t>
      </w:r>
      <w:r>
        <w:rPr>
          <w:color w:val="000000"/>
        </w:rPr>
        <w:t>unique patients. The HCSRN brings together methodological and</w:t>
      </w:r>
      <w:r>
        <w:rPr>
          <w:color w:val="000000"/>
          <w:spacing w:val="-54"/>
        </w:rPr>
        <w:t> </w:t>
      </w:r>
      <w:r>
        <w:rPr>
          <w:color w:val="000000"/>
        </w:rPr>
        <w:t>content expertise for an array of disciplines - such as epidemiology, health services research,</w:t>
      </w:r>
      <w:r>
        <w:rPr>
          <w:color w:val="000000"/>
          <w:spacing w:val="1"/>
        </w:rPr>
        <w:t> </w:t>
      </w:r>
      <w:r>
        <w:rPr>
          <w:color w:val="000000"/>
        </w:rPr>
        <w:t>outcomes and quality of care assessment, qualitative methods, health disparities, health</w:t>
      </w:r>
      <w:r>
        <w:rPr>
          <w:color w:val="000000"/>
          <w:spacing w:val="1"/>
        </w:rPr>
        <w:t> </w:t>
      </w:r>
      <w:r>
        <w:rPr>
          <w:color w:val="000000"/>
        </w:rPr>
        <w:t>economics,</w:t>
      </w:r>
      <w:r>
        <w:rPr>
          <w:color w:val="000000"/>
          <w:spacing w:val="-2"/>
        </w:rPr>
        <w:t> </w:t>
      </w:r>
      <w:r>
        <w:rPr>
          <w:color w:val="000000"/>
        </w:rPr>
        <w:t>and clinical trials.</w:t>
      </w:r>
    </w:p>
    <w:p>
      <w:pPr>
        <w:pStyle w:val="BodyText"/>
      </w:pPr>
    </w:p>
    <w:p>
      <w:pPr>
        <w:pStyle w:val="BodyText"/>
        <w:ind w:left="107" w:right="133"/>
      </w:pPr>
      <w:r>
        <w:rPr/>
        <w:t>HCSRN</w:t>
      </w:r>
      <w:r>
        <w:rPr>
          <w:spacing w:val="-6"/>
        </w:rPr>
        <w:t> </w:t>
      </w:r>
      <w:r>
        <w:rPr/>
        <w:t>affiliated</w:t>
      </w:r>
      <w:r>
        <w:rPr>
          <w:spacing w:val="-3"/>
        </w:rPr>
        <w:t> </w:t>
      </w:r>
      <w:r>
        <w:rPr/>
        <w:t>health</w:t>
      </w:r>
      <w:r>
        <w:rPr>
          <w:spacing w:val="-3"/>
        </w:rPr>
        <w:t> </w:t>
      </w:r>
      <w:r>
        <w:rPr/>
        <w:t>care</w:t>
      </w:r>
      <w:r>
        <w:rPr>
          <w:spacing w:val="-4"/>
        </w:rPr>
        <w:t> </w:t>
      </w:r>
      <w:r>
        <w:rPr/>
        <w:t>systems</w:t>
      </w:r>
      <w:r>
        <w:rPr>
          <w:spacing w:val="-5"/>
        </w:rPr>
        <w:t> </w:t>
      </w:r>
      <w:r>
        <w:rPr/>
        <w:t>provide</w:t>
      </w:r>
      <w:r>
        <w:rPr>
          <w:spacing w:val="-4"/>
        </w:rPr>
        <w:t> </w:t>
      </w:r>
      <w:r>
        <w:rPr/>
        <w:t>care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delivery</w:t>
      </w:r>
      <w:r>
        <w:rPr>
          <w:spacing w:val="-2"/>
        </w:rPr>
        <w:t> </w:t>
      </w:r>
      <w:r>
        <w:rPr/>
        <w:t>systems,</w:t>
      </w:r>
      <w:r>
        <w:rPr>
          <w:spacing w:val="-53"/>
        </w:rPr>
        <w:t> </w:t>
      </w:r>
      <w:r>
        <w:rPr/>
        <w:t>network, and individual practice association or point of service models. HCSRN plans provide</w:t>
      </w:r>
      <w:r>
        <w:rPr>
          <w:spacing w:val="1"/>
        </w:rPr>
        <w:t> </w:t>
      </w:r>
      <w:r>
        <w:rPr/>
        <w:t>services through various financial models (e.g., capitation, fee-for-service and self-insurance that</w:t>
      </w:r>
      <w:r>
        <w:rPr>
          <w:spacing w:val="-53"/>
        </w:rPr>
        <w:t> </w:t>
      </w:r>
      <w:r>
        <w:rPr/>
        <w:t>includes copayments and deductibles). Most also provide care through commercial, Medicare,</w:t>
      </w:r>
      <w:r>
        <w:rPr>
          <w:spacing w:val="1"/>
        </w:rPr>
        <w:t> </w:t>
      </w:r>
      <w:r>
        <w:rPr/>
        <w:t>Medicaid and state-specific ‘gap’ insurance programs, reflecting essentially all health services</w:t>
      </w:r>
      <w:r>
        <w:rPr>
          <w:spacing w:val="1"/>
        </w:rPr>
        <w:t> </w:t>
      </w:r>
      <w:r>
        <w:rPr/>
        <w:t>and finance options in the U.S. This provides a rare opportunity to study the impact of clinical</w:t>
      </w:r>
      <w:r>
        <w:rPr>
          <w:spacing w:val="1"/>
        </w:rPr>
        <w:t> </w:t>
      </w:r>
      <w:r>
        <w:rPr/>
        <w:t>questions for all ages and insurance relationships within a unified health service delivery and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information systems</w:t>
      </w:r>
      <w:r>
        <w:rPr>
          <w:spacing w:val="-1"/>
        </w:rPr>
        <w:t> </w:t>
      </w:r>
      <w:r>
        <w:rPr/>
        <w:t>framework.</w:t>
      </w:r>
    </w:p>
    <w:p>
      <w:pPr>
        <w:pStyle w:val="BodyText"/>
        <w:spacing w:before="1"/>
      </w:pPr>
    </w:p>
    <w:p>
      <w:pPr>
        <w:pStyle w:val="BodyText"/>
        <w:ind w:left="107" w:right="142"/>
      </w:pPr>
      <w:r>
        <w:rPr/>
        <w:t>All HCSRN health systems have electronic medical records that allow for more efficient and</w:t>
      </w:r>
      <w:r>
        <w:rPr>
          <w:spacing w:val="1"/>
        </w:rPr>
        <w:t> </w:t>
      </w:r>
      <w:r>
        <w:rPr/>
        <w:t>richer data-only studies, as well as the potential for unique interventions.</w:t>
      </w:r>
      <w:r>
        <w:rPr>
          <w:spacing w:val="1"/>
        </w:rPr>
        <w:t> </w:t>
      </w:r>
      <w:r>
        <w:rPr/>
        <w:t>HCSRN organizations</w:t>
      </w:r>
      <w:r>
        <w:rPr>
          <w:spacing w:val="1"/>
        </w:rPr>
        <w:t> </w:t>
      </w:r>
      <w:r>
        <w:rPr/>
        <w:t>have also invested in additional information technology to connect and standardize information</w:t>
      </w:r>
      <w:r>
        <w:rPr>
          <w:spacing w:val="-53"/>
        </w:rPr>
        <w:t> </w:t>
      </w:r>
      <w:r>
        <w:rPr/>
        <w:t>across multiple health system databases. Each health system uses unique medical record</w:t>
      </w:r>
      <w:r>
        <w:rPr>
          <w:spacing w:val="1"/>
        </w:rPr>
        <w:t> </w:t>
      </w:r>
      <w:r>
        <w:rPr/>
        <w:t>numbers to allow tracking of study participants across their databases, with detailed</w:t>
      </w:r>
      <w:r>
        <w:rPr>
          <w:spacing w:val="1"/>
        </w:rPr>
        <w:t> </w:t>
      </w:r>
      <w:r>
        <w:rPr/>
        <w:t>membership records and resource utilization. Data on death from health plan and state death</w:t>
      </w:r>
      <w:r>
        <w:rPr>
          <w:spacing w:val="1"/>
        </w:rPr>
        <w:t> </w:t>
      </w:r>
      <w:r>
        <w:rPr/>
        <w:t>records, along with information on costs, are available for most systems. A unique aspect of the</w:t>
      </w:r>
      <w:r>
        <w:rPr>
          <w:spacing w:val="1"/>
        </w:rPr>
        <w:t> </w:t>
      </w:r>
      <w:r>
        <w:rPr/>
        <w:t>Network is the availability of clinical data in the form of inpatient and outpatient diagnoses and</w:t>
      </w:r>
      <w:r>
        <w:rPr>
          <w:spacing w:val="1"/>
        </w:rPr>
        <w:t> </w:t>
      </w:r>
      <w:r>
        <w:rPr/>
        <w:t>procedures, pharmacy data, and lab testing/results. Many HCSRN sites have ≥ 90% of members</w:t>
      </w:r>
      <w:r>
        <w:rPr>
          <w:spacing w:val="1"/>
        </w:rPr>
        <w:t> </w:t>
      </w:r>
      <w:r>
        <w:rPr/>
        <w:t>with a pharmacy benefit employing only modest copays, providing strong financial incentives to</w:t>
      </w:r>
      <w:r>
        <w:rPr>
          <w:spacing w:val="-54"/>
        </w:rPr>
        <w:t> </w:t>
      </w:r>
      <w:r>
        <w:rPr/>
        <w:t>fill prescriptions through their health plan insurance to yield nearly comprehensive data on drug</w:t>
      </w:r>
      <w:r>
        <w:rPr>
          <w:spacing w:val="1"/>
        </w:rPr>
        <w:t> </w:t>
      </w:r>
      <w:r>
        <w:rPr/>
        <w:t>exposure.</w:t>
      </w:r>
    </w:p>
    <w:p>
      <w:pPr>
        <w:pStyle w:val="BodyText"/>
      </w:pPr>
    </w:p>
    <w:p>
      <w:pPr>
        <w:pStyle w:val="BodyText"/>
        <w:ind w:left="107"/>
      </w:pPr>
      <w:r>
        <w:rPr/>
        <w:t>Key</w:t>
      </w:r>
      <w:r>
        <w:rPr>
          <w:spacing w:val="-4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HCSRN:</w:t>
      </w:r>
    </w:p>
    <w:p>
      <w:pPr>
        <w:pStyle w:val="BodyText"/>
        <w:spacing w:before="1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358" w:hanging="360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HCSRN</w:t>
      </w:r>
      <w:r>
        <w:rPr>
          <w:spacing w:val="-2"/>
          <w:sz w:val="20"/>
        </w:rPr>
        <w:t> </w:t>
      </w:r>
      <w:r>
        <w:rPr>
          <w:sz w:val="20"/>
        </w:rPr>
        <w:t>offers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nationally</w:t>
      </w:r>
      <w:r>
        <w:rPr>
          <w:spacing w:val="-3"/>
          <w:sz w:val="20"/>
        </w:rPr>
        <w:t> </w:t>
      </w:r>
      <w:r>
        <w:rPr>
          <w:sz w:val="20"/>
        </w:rPr>
        <w:t>representative</w:t>
      </w:r>
      <w:r>
        <w:rPr>
          <w:spacing w:val="-4"/>
          <w:sz w:val="20"/>
        </w:rPr>
        <w:t> </w:t>
      </w:r>
      <w:r>
        <w:rPr>
          <w:sz w:val="20"/>
        </w:rPr>
        <w:t>sample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U.S.</w:t>
      </w:r>
      <w:r>
        <w:rPr>
          <w:spacing w:val="-4"/>
          <w:sz w:val="20"/>
        </w:rPr>
        <w:t> </w:t>
      </w:r>
      <w:r>
        <w:rPr>
          <w:sz w:val="20"/>
        </w:rPr>
        <w:t>health</w:t>
      </w:r>
      <w:r>
        <w:rPr>
          <w:spacing w:val="-3"/>
          <w:sz w:val="20"/>
        </w:rPr>
        <w:t> </w:t>
      </w:r>
      <w:r>
        <w:rPr>
          <w:sz w:val="20"/>
        </w:rPr>
        <w:t>care</w:t>
      </w:r>
      <w:r>
        <w:rPr>
          <w:spacing w:val="-3"/>
          <w:sz w:val="20"/>
        </w:rPr>
        <w:t> </w:t>
      </w:r>
      <w:r>
        <w:rPr>
          <w:sz w:val="20"/>
        </w:rPr>
        <w:t>experience</w:t>
      </w:r>
      <w:r>
        <w:rPr>
          <w:spacing w:val="-53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reflects</w:t>
      </w:r>
      <w:r>
        <w:rPr>
          <w:spacing w:val="-1"/>
          <w:sz w:val="20"/>
        </w:rPr>
        <w:t> </w:t>
      </w:r>
      <w:r>
        <w:rPr>
          <w:sz w:val="20"/>
        </w:rPr>
        <w:t>community-based care.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374" w:hanging="360"/>
        <w:jc w:val="left"/>
        <w:rPr>
          <w:sz w:val="20"/>
        </w:rPr>
      </w:pPr>
      <w:r>
        <w:rPr>
          <w:sz w:val="20"/>
        </w:rPr>
        <w:t>Using population-based care models, all member plans provide comprehensive health</w:t>
      </w:r>
      <w:r>
        <w:rPr>
          <w:spacing w:val="-53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(e.g.,</w:t>
      </w:r>
      <w:r>
        <w:rPr>
          <w:spacing w:val="-1"/>
          <w:sz w:val="20"/>
        </w:rPr>
        <w:t> </w:t>
      </w:r>
      <w:r>
        <w:rPr>
          <w:sz w:val="20"/>
        </w:rPr>
        <w:t>primary</w:t>
      </w:r>
      <w:r>
        <w:rPr>
          <w:spacing w:val="1"/>
          <w:sz w:val="20"/>
        </w:rPr>
        <w:t> </w:t>
      </w:r>
      <w:r>
        <w:rPr>
          <w:sz w:val="20"/>
        </w:rPr>
        <w:t>prevention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end-of-life</w:t>
      </w:r>
      <w:r>
        <w:rPr>
          <w:spacing w:val="-1"/>
          <w:sz w:val="20"/>
        </w:rPr>
        <w:t> </w:t>
      </w:r>
      <w:r>
        <w:rPr>
          <w:sz w:val="20"/>
        </w:rPr>
        <w:t>care).</w:t>
      </w: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1" w:after="0"/>
        <w:ind w:left="826" w:right="129" w:hanging="360"/>
        <w:jc w:val="left"/>
        <w:rPr>
          <w:sz w:val="20"/>
        </w:rPr>
      </w:pPr>
      <w:r>
        <w:rPr>
          <w:sz w:val="20"/>
        </w:rPr>
        <w:t>HCSRN</w:t>
      </w:r>
      <w:r>
        <w:rPr>
          <w:spacing w:val="-3"/>
          <w:sz w:val="20"/>
        </w:rPr>
        <w:t> </w:t>
      </w:r>
      <w:r>
        <w:rPr>
          <w:sz w:val="20"/>
        </w:rPr>
        <w:t>member</w:t>
      </w:r>
      <w:r>
        <w:rPr>
          <w:spacing w:val="-4"/>
          <w:sz w:val="20"/>
        </w:rPr>
        <w:t> </w:t>
      </w:r>
      <w:r>
        <w:rPr>
          <w:sz w:val="20"/>
        </w:rPr>
        <w:t>plans</w:t>
      </w:r>
      <w:r>
        <w:rPr>
          <w:spacing w:val="-4"/>
          <w:sz w:val="20"/>
        </w:rPr>
        <w:t> </w:t>
      </w:r>
      <w:r>
        <w:rPr>
          <w:sz w:val="20"/>
        </w:rPr>
        <w:t>provide</w:t>
      </w:r>
      <w:r>
        <w:rPr>
          <w:spacing w:val="-4"/>
          <w:sz w:val="20"/>
        </w:rPr>
        <w:t> </w:t>
      </w:r>
      <w:r>
        <w:rPr>
          <w:sz w:val="20"/>
        </w:rPr>
        <w:t>care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commercially</w:t>
      </w:r>
      <w:r>
        <w:rPr>
          <w:spacing w:val="-2"/>
          <w:sz w:val="20"/>
        </w:rPr>
        <w:t> </w:t>
      </w:r>
      <w:r>
        <w:rPr>
          <w:sz w:val="20"/>
        </w:rPr>
        <w:t>insured</w:t>
      </w:r>
      <w:r>
        <w:rPr>
          <w:spacing w:val="-3"/>
          <w:sz w:val="20"/>
        </w:rPr>
        <w:t> </w:t>
      </w:r>
      <w:r>
        <w:rPr>
          <w:sz w:val="20"/>
        </w:rPr>
        <w:t>individuals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those</w:t>
      </w:r>
      <w:r>
        <w:rPr>
          <w:spacing w:val="-4"/>
          <w:sz w:val="20"/>
        </w:rPr>
        <w:t> </w:t>
      </w:r>
      <w:r>
        <w:rPr>
          <w:sz w:val="20"/>
        </w:rPr>
        <w:t>insured</w:t>
      </w:r>
      <w:r>
        <w:rPr>
          <w:spacing w:val="-52"/>
          <w:sz w:val="20"/>
        </w:rPr>
        <w:t> </w:t>
      </w:r>
      <w:r>
        <w:rPr>
          <w:sz w:val="20"/>
        </w:rPr>
        <w:t>via Medicare, Medicaid, state specific gap programs and other financial arrangements.</w:t>
      </w:r>
      <w:r>
        <w:rPr>
          <w:spacing w:val="1"/>
          <w:sz w:val="20"/>
        </w:rPr>
        <w:t> </w:t>
      </w:r>
      <w:r>
        <w:rPr>
          <w:sz w:val="20"/>
        </w:rPr>
        <w:t>Thus, HCSRN-based research can address clinical and health policy questions relevant to</w:t>
      </w:r>
      <w:r>
        <w:rPr>
          <w:spacing w:val="1"/>
          <w:sz w:val="20"/>
        </w:rPr>
        <w:t> </w:t>
      </w:r>
      <w:r>
        <w:rPr>
          <w:sz w:val="20"/>
        </w:rPr>
        <w:t>every market segment through which insured Americans receive health care, although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1"/>
          <w:sz w:val="20"/>
        </w:rPr>
        <w:t> </w:t>
      </w:r>
      <w:r>
        <w:rPr>
          <w:sz w:val="20"/>
        </w:rPr>
        <w:t>most</w:t>
      </w:r>
      <w:r>
        <w:rPr>
          <w:spacing w:val="-1"/>
          <w:sz w:val="20"/>
        </w:rPr>
        <w:t> </w:t>
      </w:r>
      <w:r>
        <w:rPr>
          <w:sz w:val="20"/>
        </w:rPr>
        <w:t>generalizable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insured individuals.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6340"/>
          <w:pgMar w:top="1280" w:bottom="280" w:left="1460" w:right="1180"/>
        </w:sectPr>
      </w:pPr>
    </w:p>
    <w:p>
      <w:pPr>
        <w:pStyle w:val="ListParagraph"/>
        <w:numPr>
          <w:ilvl w:val="0"/>
          <w:numId w:val="1"/>
        </w:numPr>
        <w:tabs>
          <w:tab w:pos="827" w:val="left" w:leader="none"/>
          <w:tab w:pos="828" w:val="left" w:leader="none"/>
        </w:tabs>
        <w:spacing w:line="240" w:lineRule="auto" w:before="76" w:after="0"/>
        <w:ind w:left="827" w:right="222" w:hanging="360"/>
        <w:jc w:val="left"/>
        <w:rPr>
          <w:sz w:val="20"/>
        </w:rPr>
      </w:pPr>
      <w:r>
        <w:rPr>
          <w:sz w:val="20"/>
        </w:rPr>
        <w:t>All HCSRN member plans have provided health care for &gt; 25 years and serve relatively</w:t>
      </w:r>
      <w:r>
        <w:rPr>
          <w:spacing w:val="1"/>
          <w:sz w:val="20"/>
        </w:rPr>
        <w:t> </w:t>
      </w:r>
      <w:r>
        <w:rPr>
          <w:sz w:val="20"/>
        </w:rPr>
        <w:t>stable populations that are diverse across age, gender and race/ethnicity. Research</w:t>
      </w:r>
      <w:r>
        <w:rPr>
          <w:spacing w:val="1"/>
          <w:sz w:val="20"/>
        </w:rPr>
        <w:t> </w:t>
      </w:r>
      <w:r>
        <w:rPr>
          <w:sz w:val="20"/>
        </w:rPr>
        <w:t>conducted by our investigators demonstrates that disenrollment rates diminish with older</w:t>
      </w:r>
      <w:r>
        <w:rPr>
          <w:spacing w:val="-54"/>
          <w:sz w:val="20"/>
        </w:rPr>
        <w:t> </w:t>
      </w:r>
      <w:r>
        <w:rPr>
          <w:sz w:val="20"/>
        </w:rPr>
        <w:t>age and in the presence of chronic illnesses. This stability provides a unique opportunity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longitudinal</w:t>
      </w:r>
      <w:r>
        <w:rPr>
          <w:spacing w:val="-1"/>
          <w:sz w:val="20"/>
        </w:rPr>
        <w:t> </w:t>
      </w:r>
      <w:r>
        <w:rPr>
          <w:sz w:val="20"/>
        </w:rPr>
        <w:t>research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systematic</w:t>
      </w:r>
      <w:r>
        <w:rPr>
          <w:spacing w:val="-1"/>
          <w:sz w:val="20"/>
        </w:rPr>
        <w:t> </w:t>
      </w:r>
      <w:r>
        <w:rPr>
          <w:sz w:val="20"/>
        </w:rPr>
        <w:t>follow-up</w:t>
      </w:r>
      <w:r>
        <w:rPr>
          <w:spacing w:val="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assessment.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265" w:hanging="360"/>
        <w:jc w:val="left"/>
        <w:rPr>
          <w:sz w:val="20"/>
        </w:rPr>
      </w:pPr>
      <w:r>
        <w:rPr>
          <w:sz w:val="20"/>
        </w:rPr>
        <w:t>HCSRN</w:t>
      </w:r>
      <w:r>
        <w:rPr>
          <w:spacing w:val="-3"/>
          <w:sz w:val="20"/>
        </w:rPr>
        <w:t> </w:t>
      </w:r>
      <w:r>
        <w:rPr>
          <w:sz w:val="20"/>
        </w:rPr>
        <w:t>delivery</w:t>
      </w:r>
      <w:r>
        <w:rPr>
          <w:spacing w:val="-3"/>
          <w:sz w:val="20"/>
        </w:rPr>
        <w:t> </w:t>
      </w:r>
      <w:r>
        <w:rPr>
          <w:sz w:val="20"/>
        </w:rPr>
        <w:t>systems</w:t>
      </w:r>
      <w:r>
        <w:rPr>
          <w:spacing w:val="-4"/>
          <w:sz w:val="20"/>
        </w:rPr>
        <w:t> </w:t>
      </w:r>
      <w:r>
        <w:rPr>
          <w:sz w:val="20"/>
        </w:rPr>
        <w:t>have</w:t>
      </w:r>
      <w:r>
        <w:rPr>
          <w:spacing w:val="-5"/>
          <w:sz w:val="20"/>
        </w:rPr>
        <w:t> </w:t>
      </w:r>
      <w:r>
        <w:rPr>
          <w:sz w:val="20"/>
        </w:rPr>
        <w:t>extraordinary</w:t>
      </w:r>
      <w:r>
        <w:rPr>
          <w:spacing w:val="-3"/>
          <w:sz w:val="20"/>
        </w:rPr>
        <w:t> </w:t>
      </w:r>
      <w:r>
        <w:rPr>
          <w:sz w:val="20"/>
        </w:rPr>
        <w:t>administrative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clinical</w:t>
      </w:r>
      <w:r>
        <w:rPr>
          <w:spacing w:val="-3"/>
          <w:sz w:val="20"/>
        </w:rPr>
        <w:t> </w:t>
      </w:r>
      <w:r>
        <w:rPr>
          <w:sz w:val="20"/>
        </w:rPr>
        <w:t>data</w:t>
      </w:r>
      <w:r>
        <w:rPr>
          <w:spacing w:val="-6"/>
          <w:sz w:val="20"/>
        </w:rPr>
        <w:t> </w:t>
      </w:r>
      <w:r>
        <w:rPr>
          <w:sz w:val="20"/>
        </w:rPr>
        <w:t>resources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support research. All plans have fully-implemented, comprehensive electronic medical</w:t>
      </w:r>
      <w:r>
        <w:rPr>
          <w:spacing w:val="1"/>
          <w:sz w:val="20"/>
        </w:rPr>
        <w:t> </w:t>
      </w:r>
      <w:r>
        <w:rPr>
          <w:sz w:val="20"/>
        </w:rPr>
        <w:t>records. In addition, HCSRN organizations have developed robust disease-specific</w:t>
      </w:r>
      <w:r>
        <w:rPr>
          <w:spacing w:val="1"/>
          <w:sz w:val="20"/>
        </w:rPr>
        <w:t> </w:t>
      </w:r>
      <w:r>
        <w:rPr>
          <w:sz w:val="20"/>
        </w:rPr>
        <w:t>registries for multiple chronic conditions (e.g., coronary heart disease, heart failure,</w:t>
      </w:r>
      <w:r>
        <w:rPr>
          <w:spacing w:val="1"/>
          <w:sz w:val="20"/>
        </w:rPr>
        <w:t> </w:t>
      </w:r>
      <w:r>
        <w:rPr>
          <w:sz w:val="20"/>
        </w:rPr>
        <w:t>diabetes, hypertension, dyslipidemia) and other conditions. These registries provide</w:t>
      </w:r>
      <w:r>
        <w:rPr>
          <w:spacing w:val="1"/>
          <w:sz w:val="20"/>
        </w:rPr>
        <w:t> </w:t>
      </w:r>
      <w:r>
        <w:rPr>
          <w:sz w:val="20"/>
        </w:rPr>
        <w:t>detailed population-based clinical information for key chronic illnesses and health</w:t>
      </w:r>
      <w:r>
        <w:rPr>
          <w:spacing w:val="1"/>
          <w:sz w:val="20"/>
        </w:rPr>
        <w:t> </w:t>
      </w:r>
      <w:r>
        <w:rPr>
          <w:sz w:val="20"/>
        </w:rPr>
        <w:t>behaviors.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826" w:val="left" w:leader="none"/>
          <w:tab w:pos="827" w:val="left" w:leader="none"/>
        </w:tabs>
        <w:spacing w:line="240" w:lineRule="auto" w:before="0" w:after="0"/>
        <w:ind w:left="826" w:right="427" w:hanging="360"/>
        <w:jc w:val="left"/>
        <w:rPr>
          <w:sz w:val="20"/>
        </w:rPr>
      </w:pPr>
      <w:r>
        <w:rPr>
          <w:sz w:val="20"/>
        </w:rPr>
        <w:t>Finally, HCSRN collaborations offer the ability to “close the loop” of the cycle between</w:t>
      </w:r>
      <w:r>
        <w:rPr>
          <w:spacing w:val="-53"/>
          <w:sz w:val="20"/>
        </w:rPr>
        <w:t> </w:t>
      </w:r>
      <w:r>
        <w:rPr>
          <w:sz w:val="20"/>
        </w:rPr>
        <w:t>research results and clinical care by facilitating tracking of therapies delivered,</w:t>
      </w:r>
      <w:r>
        <w:rPr>
          <w:spacing w:val="1"/>
          <w:sz w:val="20"/>
        </w:rPr>
        <w:t> </w:t>
      </w:r>
      <w:r>
        <w:rPr>
          <w:sz w:val="20"/>
        </w:rPr>
        <w:t>identifying</w:t>
      </w:r>
      <w:r>
        <w:rPr>
          <w:spacing w:val="-4"/>
          <w:sz w:val="20"/>
        </w:rPr>
        <w:t> </w:t>
      </w:r>
      <w:r>
        <w:rPr>
          <w:sz w:val="20"/>
        </w:rPr>
        <w:t>factors</w:t>
      </w:r>
      <w:r>
        <w:rPr>
          <w:spacing w:val="-5"/>
          <w:sz w:val="20"/>
        </w:rPr>
        <w:t> </w:t>
      </w:r>
      <w:r>
        <w:rPr>
          <w:sz w:val="20"/>
        </w:rPr>
        <w:t>associated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differential</w:t>
      </w:r>
      <w:r>
        <w:rPr>
          <w:spacing w:val="-4"/>
          <w:sz w:val="20"/>
        </w:rPr>
        <w:t> </w:t>
      </w:r>
      <w:r>
        <w:rPr>
          <w:sz w:val="20"/>
        </w:rPr>
        <w:t>treatment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consequences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52"/>
          <w:sz w:val="20"/>
        </w:rPr>
        <w:t> </w:t>
      </w:r>
      <w:r>
        <w:rPr>
          <w:sz w:val="20"/>
        </w:rPr>
        <w:t>adoption or non-adoption of cardiovascular therapies within usual care, “real world”</w:t>
      </w:r>
      <w:r>
        <w:rPr>
          <w:spacing w:val="1"/>
          <w:sz w:val="20"/>
        </w:rPr>
        <w:t> </w:t>
      </w:r>
      <w:r>
        <w:rPr>
          <w:sz w:val="20"/>
        </w:rPr>
        <w:t>patient</w:t>
      </w:r>
      <w:r>
        <w:rPr>
          <w:spacing w:val="-2"/>
          <w:sz w:val="20"/>
        </w:rPr>
        <w:t> </w:t>
      </w:r>
      <w:r>
        <w:rPr>
          <w:sz w:val="20"/>
        </w:rPr>
        <w:t>populations.</w:t>
      </w:r>
    </w:p>
    <w:sectPr>
      <w:pgSz w:w="12240" w:h="16340"/>
      <w:pgMar w:top="1280" w:bottom="280" w:left="146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826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401"/>
    </w:pPr>
    <w:rPr>
      <w:rFonts w:ascii="Century Gothic" w:hAnsi="Century Gothic" w:eastAsia="Century Gothic" w:cs="Century Gothic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6" w:right="129" w:hanging="360"/>
    </w:pPr>
    <w:rPr>
      <w:rFonts w:ascii="Century Gothic" w:hAnsi="Century Gothic" w:eastAsia="Century Gothic" w:cs="Century Gothic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hcsrn.org/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thomee1</dc:creator>
  <dc:title>The HMO Research Network</dc:title>
  <dcterms:created xsi:type="dcterms:W3CDTF">2021-12-10T01:42:50Z</dcterms:created>
  <dcterms:modified xsi:type="dcterms:W3CDTF">2021-12-10T01:42:50Z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2021-12-10T00:00:00Z</vt:filetime>
  </property>
</Properties>
</file>